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C5753F" w:rsidRDefault="004D27A6" w:rsidP="004D27A6">
      <w:pPr>
        <w:pStyle w:val="ProductList-Body"/>
        <w:shd w:val="clear" w:color="auto" w:fill="00188F"/>
        <w:ind w:right="8640"/>
        <w:rPr>
          <w:rFonts w:asciiTheme="majorHAnsi" w:hAnsiTheme="majorHAnsi"/>
          <w:color w:val="FFFFFF" w:themeColor="background1"/>
          <w:sz w:val="6"/>
          <w:szCs w:val="6"/>
        </w:rPr>
      </w:pPr>
      <w:bookmarkStart w:id="0" w:name="CoverPage"/>
    </w:p>
    <w:p w:rsidR="004D27A6" w:rsidRPr="00B810D0" w:rsidRDefault="004D27A6" w:rsidP="004D27A6">
      <w:pPr>
        <w:pStyle w:val="ProductList-Body"/>
        <w:shd w:val="clear" w:color="auto" w:fill="00188F"/>
        <w:ind w:right="8640"/>
      </w:pPr>
      <w:r>
        <w:rPr>
          <w:rFonts w:asciiTheme="majorHAnsi" w:hAnsiTheme="majorHAnsi"/>
          <w:color w:val="FFFFFF" w:themeColor="background1"/>
          <w:sz w:val="32"/>
          <w:szCs w:val="32"/>
        </w:rPr>
        <w:tab/>
        <w:t>Licenciamento</w:t>
      </w:r>
    </w:p>
    <w:bookmarkEnd w:id="0"/>
    <w:p w:rsidR="004D27A6" w:rsidRPr="00B810D0"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t>por Volume</w:t>
      </w:r>
      <w:bookmarkStart w:id="1" w:name="_GoBack"/>
      <w:bookmarkEnd w:id="1"/>
    </w:p>
    <w:p w:rsidR="004D27A6" w:rsidRPr="00B810D0" w:rsidRDefault="004D27A6" w:rsidP="004D27A6">
      <w:pPr>
        <w:pStyle w:val="ProductList-Body"/>
        <w:shd w:val="clear" w:color="auto" w:fill="00188F"/>
        <w:ind w:right="8640"/>
      </w:pPr>
    </w:p>
    <w:p w:rsidR="004D27A6" w:rsidRPr="00C5753F" w:rsidRDefault="004D27A6" w:rsidP="004D27A6">
      <w:pPr>
        <w:pStyle w:val="ProductList-Body"/>
        <w:shd w:val="clear" w:color="auto" w:fill="0072C6"/>
        <w:ind w:right="1800"/>
        <w:rPr>
          <w:rFonts w:asciiTheme="majorHAnsi" w:hAnsiTheme="majorHAnsi"/>
          <w:color w:val="FFFFFF" w:themeColor="background1"/>
          <w:sz w:val="72"/>
          <w:szCs w:val="72"/>
        </w:rPr>
      </w:pPr>
    </w:p>
    <w:p w:rsidR="004D27A6" w:rsidRPr="00C5753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4D27A6" w:rsidRPr="00B810D0"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rsidR="004D27A6" w:rsidRPr="00B810D0"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1º de julho de 2014</w:t>
      </w:r>
    </w:p>
    <w:p w:rsidR="004D27A6" w:rsidRPr="00C5753F" w:rsidRDefault="004D27A6" w:rsidP="00C5753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4D27A6" w:rsidRPr="00B810D0"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rsidR="002B1D1A" w:rsidRDefault="00600D17">
      <w:pPr>
        <w:pStyle w:val="TOC1"/>
        <w:tabs>
          <w:tab w:val="right" w:leader="dot" w:pos="5030"/>
        </w:tabs>
        <w:rPr>
          <w:rFonts w:eastAsiaTheme="minorEastAsia"/>
          <w:b w:val="0"/>
          <w:caps w:val="0"/>
          <w:noProof/>
          <w:sz w:val="22"/>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1645771" w:history="1">
        <w:r w:rsidR="002B1D1A" w:rsidRPr="006B6B23">
          <w:rPr>
            <w:rStyle w:val="Hyperlink"/>
            <w:noProof/>
          </w:rPr>
          <w:t>Introdução</w:t>
        </w:r>
        <w:r w:rsidR="002B1D1A">
          <w:rPr>
            <w:noProof/>
            <w:webHidden/>
          </w:rPr>
          <w:tab/>
        </w:r>
        <w:r w:rsidR="002B1D1A">
          <w:rPr>
            <w:noProof/>
            <w:webHidden/>
          </w:rPr>
          <w:fldChar w:fldCharType="begin"/>
        </w:r>
        <w:r w:rsidR="002B1D1A">
          <w:rPr>
            <w:noProof/>
            <w:webHidden/>
          </w:rPr>
          <w:instrText xml:space="preserve"> PAGEREF _Toc391645771 \h </w:instrText>
        </w:r>
        <w:r w:rsidR="002B1D1A">
          <w:rPr>
            <w:noProof/>
            <w:webHidden/>
          </w:rPr>
        </w:r>
        <w:r w:rsidR="002B1D1A">
          <w:rPr>
            <w:noProof/>
            <w:webHidden/>
          </w:rPr>
          <w:fldChar w:fldCharType="separate"/>
        </w:r>
        <w:r w:rsidR="004A3F49">
          <w:rPr>
            <w:noProof/>
            <w:webHidden/>
          </w:rPr>
          <w:t>3</w:t>
        </w:r>
        <w:r w:rsidR="002B1D1A">
          <w:rPr>
            <w:noProof/>
            <w:webHidden/>
          </w:rPr>
          <w:fldChar w:fldCharType="end"/>
        </w:r>
      </w:hyperlink>
    </w:p>
    <w:p w:rsidR="002B1D1A" w:rsidRDefault="00EA64EF">
      <w:pPr>
        <w:pStyle w:val="TOC3"/>
        <w:tabs>
          <w:tab w:val="right" w:leader="dot" w:pos="5030"/>
        </w:tabs>
        <w:rPr>
          <w:rFonts w:eastAsiaTheme="minorEastAsia"/>
          <w:smallCaps w:val="0"/>
          <w:noProof/>
          <w:sz w:val="22"/>
        </w:rPr>
      </w:pPr>
      <w:hyperlink w:anchor="_Toc391645772" w:history="1">
        <w:r w:rsidR="002B1D1A" w:rsidRPr="006B6B23">
          <w:rPr>
            <w:rStyle w:val="Hyperlink"/>
            <w:noProof/>
          </w:rPr>
          <w:t>Versões Anteriores</w:t>
        </w:r>
        <w:r w:rsidR="002B1D1A">
          <w:rPr>
            <w:noProof/>
            <w:webHidden/>
          </w:rPr>
          <w:tab/>
        </w:r>
        <w:r w:rsidR="002B1D1A">
          <w:rPr>
            <w:noProof/>
            <w:webHidden/>
          </w:rPr>
          <w:fldChar w:fldCharType="begin"/>
        </w:r>
        <w:r w:rsidR="002B1D1A">
          <w:rPr>
            <w:noProof/>
            <w:webHidden/>
          </w:rPr>
          <w:instrText xml:space="preserve"> PAGEREF _Toc391645772 \h </w:instrText>
        </w:r>
        <w:r w:rsidR="002B1D1A">
          <w:rPr>
            <w:noProof/>
            <w:webHidden/>
          </w:rPr>
        </w:r>
        <w:r w:rsidR="002B1D1A">
          <w:rPr>
            <w:noProof/>
            <w:webHidden/>
          </w:rPr>
          <w:fldChar w:fldCharType="separate"/>
        </w:r>
        <w:r w:rsidR="004A3F49">
          <w:rPr>
            <w:noProof/>
            <w:webHidden/>
          </w:rPr>
          <w:t>3</w:t>
        </w:r>
        <w:r w:rsidR="002B1D1A">
          <w:rPr>
            <w:noProof/>
            <w:webHidden/>
          </w:rPr>
          <w:fldChar w:fldCharType="end"/>
        </w:r>
      </w:hyperlink>
    </w:p>
    <w:p w:rsidR="002B1D1A" w:rsidRDefault="00EA64EF">
      <w:pPr>
        <w:pStyle w:val="TOC3"/>
        <w:tabs>
          <w:tab w:val="right" w:leader="dot" w:pos="5030"/>
        </w:tabs>
        <w:rPr>
          <w:rFonts w:eastAsiaTheme="minorEastAsia"/>
          <w:smallCaps w:val="0"/>
          <w:noProof/>
          <w:sz w:val="22"/>
        </w:rPr>
      </w:pPr>
      <w:hyperlink w:anchor="_Toc391645773" w:history="1">
        <w:r w:rsidR="002B1D1A" w:rsidRPr="006B6B23">
          <w:rPr>
            <w:rStyle w:val="Hyperlink"/>
            <w:noProof/>
          </w:rPr>
          <w:t>Esclarecimentos e Resumo das Alterações</w:t>
        </w:r>
        <w:r w:rsidR="002B1D1A">
          <w:rPr>
            <w:noProof/>
            <w:webHidden/>
          </w:rPr>
          <w:tab/>
        </w:r>
        <w:r w:rsidR="002B1D1A">
          <w:rPr>
            <w:noProof/>
            <w:webHidden/>
          </w:rPr>
          <w:fldChar w:fldCharType="begin"/>
        </w:r>
        <w:r w:rsidR="002B1D1A">
          <w:rPr>
            <w:noProof/>
            <w:webHidden/>
          </w:rPr>
          <w:instrText xml:space="preserve"> PAGEREF _Toc391645773 \h </w:instrText>
        </w:r>
        <w:r w:rsidR="002B1D1A">
          <w:rPr>
            <w:noProof/>
            <w:webHidden/>
          </w:rPr>
        </w:r>
        <w:r w:rsidR="002B1D1A">
          <w:rPr>
            <w:noProof/>
            <w:webHidden/>
          </w:rPr>
          <w:fldChar w:fldCharType="separate"/>
        </w:r>
        <w:r w:rsidR="004A3F49">
          <w:rPr>
            <w:noProof/>
            <w:webHidden/>
          </w:rPr>
          <w:t>3</w:t>
        </w:r>
        <w:r w:rsidR="002B1D1A">
          <w:rPr>
            <w:noProof/>
            <w:webHidden/>
          </w:rPr>
          <w:fldChar w:fldCharType="end"/>
        </w:r>
      </w:hyperlink>
    </w:p>
    <w:p w:rsidR="002B1D1A" w:rsidRDefault="00EA64EF">
      <w:pPr>
        <w:pStyle w:val="TOC1"/>
        <w:tabs>
          <w:tab w:val="right" w:leader="dot" w:pos="5030"/>
        </w:tabs>
        <w:rPr>
          <w:rFonts w:eastAsiaTheme="minorEastAsia"/>
          <w:b w:val="0"/>
          <w:caps w:val="0"/>
          <w:noProof/>
          <w:sz w:val="22"/>
        </w:rPr>
      </w:pPr>
      <w:hyperlink w:anchor="_Toc391645774" w:history="1">
        <w:r w:rsidR="002B1D1A" w:rsidRPr="006B6B23">
          <w:rPr>
            <w:rStyle w:val="Hyperlink"/>
            <w:noProof/>
          </w:rPr>
          <w:t>Termos Gerais</w:t>
        </w:r>
        <w:r w:rsidR="002B1D1A">
          <w:rPr>
            <w:noProof/>
            <w:webHidden/>
          </w:rPr>
          <w:tab/>
        </w:r>
        <w:r w:rsidR="002B1D1A">
          <w:rPr>
            <w:noProof/>
            <w:webHidden/>
          </w:rPr>
          <w:fldChar w:fldCharType="begin"/>
        </w:r>
        <w:r w:rsidR="002B1D1A">
          <w:rPr>
            <w:noProof/>
            <w:webHidden/>
          </w:rPr>
          <w:instrText xml:space="preserve"> PAGEREF _Toc391645774 \h </w:instrText>
        </w:r>
        <w:r w:rsidR="002B1D1A">
          <w:rPr>
            <w:noProof/>
            <w:webHidden/>
          </w:rPr>
        </w:r>
        <w:r w:rsidR="002B1D1A">
          <w:rPr>
            <w:noProof/>
            <w:webHidden/>
          </w:rPr>
          <w:fldChar w:fldCharType="separate"/>
        </w:r>
        <w:r w:rsidR="004A3F49">
          <w:rPr>
            <w:noProof/>
            <w:webHidden/>
          </w:rPr>
          <w:t>4</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775" w:history="1">
        <w:r w:rsidR="002B1D1A" w:rsidRPr="006B6B23">
          <w:rPr>
            <w:rStyle w:val="Hyperlink"/>
            <w:noProof/>
          </w:rPr>
          <w:t>Definições</w:t>
        </w:r>
        <w:r w:rsidR="002B1D1A">
          <w:rPr>
            <w:noProof/>
            <w:webHidden/>
          </w:rPr>
          <w:tab/>
        </w:r>
        <w:r w:rsidR="002B1D1A">
          <w:rPr>
            <w:noProof/>
            <w:webHidden/>
          </w:rPr>
          <w:fldChar w:fldCharType="begin"/>
        </w:r>
        <w:r w:rsidR="002B1D1A">
          <w:rPr>
            <w:noProof/>
            <w:webHidden/>
          </w:rPr>
          <w:instrText xml:space="preserve"> PAGEREF _Toc391645775 \h </w:instrText>
        </w:r>
        <w:r w:rsidR="002B1D1A">
          <w:rPr>
            <w:noProof/>
            <w:webHidden/>
          </w:rPr>
        </w:r>
        <w:r w:rsidR="002B1D1A">
          <w:rPr>
            <w:noProof/>
            <w:webHidden/>
          </w:rPr>
          <w:fldChar w:fldCharType="separate"/>
        </w:r>
        <w:r w:rsidR="004A3F49">
          <w:rPr>
            <w:noProof/>
            <w:webHidden/>
          </w:rPr>
          <w:t>4</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776" w:history="1">
        <w:r w:rsidR="002B1D1A" w:rsidRPr="006B6B23">
          <w:rPr>
            <w:rStyle w:val="Hyperlink"/>
            <w:noProof/>
          </w:rPr>
          <w:t>Atualizações dos Termos dos Serviços Online</w:t>
        </w:r>
        <w:r w:rsidR="002B1D1A">
          <w:rPr>
            <w:noProof/>
            <w:webHidden/>
          </w:rPr>
          <w:tab/>
        </w:r>
        <w:r w:rsidR="002B1D1A">
          <w:rPr>
            <w:noProof/>
            <w:webHidden/>
          </w:rPr>
          <w:fldChar w:fldCharType="begin"/>
        </w:r>
        <w:r w:rsidR="002B1D1A">
          <w:rPr>
            <w:noProof/>
            <w:webHidden/>
          </w:rPr>
          <w:instrText xml:space="preserve"> PAGEREF _Toc391645776 \h </w:instrText>
        </w:r>
        <w:r w:rsidR="002B1D1A">
          <w:rPr>
            <w:noProof/>
            <w:webHidden/>
          </w:rPr>
        </w:r>
        <w:r w:rsidR="002B1D1A">
          <w:rPr>
            <w:noProof/>
            <w:webHidden/>
          </w:rPr>
          <w:fldChar w:fldCharType="separate"/>
        </w:r>
        <w:r w:rsidR="004A3F49">
          <w:rPr>
            <w:noProof/>
            <w:webHidden/>
          </w:rPr>
          <w:t>4</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777" w:history="1">
        <w:r w:rsidR="002B1D1A" w:rsidRPr="006B6B23">
          <w:rPr>
            <w:rStyle w:val="Hyperlink"/>
            <w:noProof/>
          </w:rPr>
          <w:t>Alterações Regulatórias e Disponibilidade Internacional</w:t>
        </w:r>
        <w:r w:rsidR="002B1D1A">
          <w:rPr>
            <w:noProof/>
            <w:webHidden/>
          </w:rPr>
          <w:tab/>
        </w:r>
        <w:r w:rsidR="002B1D1A">
          <w:rPr>
            <w:noProof/>
            <w:webHidden/>
          </w:rPr>
          <w:fldChar w:fldCharType="begin"/>
        </w:r>
        <w:r w:rsidR="002B1D1A">
          <w:rPr>
            <w:noProof/>
            <w:webHidden/>
          </w:rPr>
          <w:instrText xml:space="preserve"> PAGEREF _Toc391645777 \h </w:instrText>
        </w:r>
        <w:r w:rsidR="002B1D1A">
          <w:rPr>
            <w:noProof/>
            <w:webHidden/>
          </w:rPr>
        </w:r>
        <w:r w:rsidR="002B1D1A">
          <w:rPr>
            <w:noProof/>
            <w:webHidden/>
          </w:rPr>
          <w:fldChar w:fldCharType="separate"/>
        </w:r>
        <w:r w:rsidR="004A3F49">
          <w:rPr>
            <w:noProof/>
            <w:webHidden/>
          </w:rPr>
          <w:t>4</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778" w:history="1">
        <w:r w:rsidR="002B1D1A" w:rsidRPr="006B6B23">
          <w:rPr>
            <w:rStyle w:val="Hyperlink"/>
            <w:noProof/>
          </w:rPr>
          <w:t>Retenção de Dados</w:t>
        </w:r>
        <w:r w:rsidR="002B1D1A">
          <w:rPr>
            <w:noProof/>
            <w:webHidden/>
          </w:rPr>
          <w:tab/>
        </w:r>
        <w:r w:rsidR="002B1D1A">
          <w:rPr>
            <w:noProof/>
            <w:webHidden/>
          </w:rPr>
          <w:fldChar w:fldCharType="begin"/>
        </w:r>
        <w:r w:rsidR="002B1D1A">
          <w:rPr>
            <w:noProof/>
            <w:webHidden/>
          </w:rPr>
          <w:instrText xml:space="preserve"> PAGEREF _Toc391645778 \h </w:instrText>
        </w:r>
        <w:r w:rsidR="002B1D1A">
          <w:rPr>
            <w:noProof/>
            <w:webHidden/>
          </w:rPr>
        </w:r>
        <w:r w:rsidR="002B1D1A">
          <w:rPr>
            <w:noProof/>
            <w:webHidden/>
          </w:rPr>
          <w:fldChar w:fldCharType="separate"/>
        </w:r>
        <w:r w:rsidR="004A3F49">
          <w:rPr>
            <w:noProof/>
            <w:webHidden/>
          </w:rPr>
          <w:t>4</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779" w:history="1">
        <w:r w:rsidR="002B1D1A" w:rsidRPr="006B6B23">
          <w:rPr>
            <w:rStyle w:val="Hyperlink"/>
            <w:noProof/>
          </w:rPr>
          <w:t>Uso de Software com o Serviço Online</w:t>
        </w:r>
        <w:r w:rsidR="002B1D1A">
          <w:rPr>
            <w:noProof/>
            <w:webHidden/>
          </w:rPr>
          <w:tab/>
        </w:r>
        <w:r w:rsidR="002B1D1A">
          <w:rPr>
            <w:noProof/>
            <w:webHidden/>
          </w:rPr>
          <w:fldChar w:fldCharType="begin"/>
        </w:r>
        <w:r w:rsidR="002B1D1A">
          <w:rPr>
            <w:noProof/>
            <w:webHidden/>
          </w:rPr>
          <w:instrText xml:space="preserve"> PAGEREF _Toc391645779 \h </w:instrText>
        </w:r>
        <w:r w:rsidR="002B1D1A">
          <w:rPr>
            <w:noProof/>
            <w:webHidden/>
          </w:rPr>
        </w:r>
        <w:r w:rsidR="002B1D1A">
          <w:rPr>
            <w:noProof/>
            <w:webHidden/>
          </w:rPr>
          <w:fldChar w:fldCharType="separate"/>
        </w:r>
        <w:r w:rsidR="004A3F49">
          <w:rPr>
            <w:noProof/>
            <w:webHidden/>
          </w:rPr>
          <w:t>4</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780" w:history="1">
        <w:r w:rsidR="002B1D1A" w:rsidRPr="006B6B23">
          <w:rPr>
            <w:rStyle w:val="Hyperlink"/>
            <w:noProof/>
          </w:rPr>
          <w:t>Produtos que Não Sejam da Microsoft</w:t>
        </w:r>
        <w:r w:rsidR="002B1D1A">
          <w:rPr>
            <w:noProof/>
            <w:webHidden/>
          </w:rPr>
          <w:tab/>
        </w:r>
        <w:r w:rsidR="002B1D1A">
          <w:rPr>
            <w:noProof/>
            <w:webHidden/>
          </w:rPr>
          <w:fldChar w:fldCharType="begin"/>
        </w:r>
        <w:r w:rsidR="002B1D1A">
          <w:rPr>
            <w:noProof/>
            <w:webHidden/>
          </w:rPr>
          <w:instrText xml:space="preserve"> PAGEREF _Toc391645780 \h </w:instrText>
        </w:r>
        <w:r w:rsidR="002B1D1A">
          <w:rPr>
            <w:noProof/>
            <w:webHidden/>
          </w:rPr>
        </w:r>
        <w:r w:rsidR="002B1D1A">
          <w:rPr>
            <w:noProof/>
            <w:webHidden/>
          </w:rPr>
          <w:fldChar w:fldCharType="separate"/>
        </w:r>
        <w:r w:rsidR="004A3F49">
          <w:rPr>
            <w:noProof/>
            <w:webHidden/>
          </w:rPr>
          <w:t>5</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781" w:history="1">
        <w:r w:rsidR="002B1D1A" w:rsidRPr="006B6B23">
          <w:rPr>
            <w:rStyle w:val="Hyperlink"/>
            <w:noProof/>
          </w:rPr>
          <w:t>Política de Uso Aceitável</w:t>
        </w:r>
        <w:r w:rsidR="002B1D1A">
          <w:rPr>
            <w:noProof/>
            <w:webHidden/>
          </w:rPr>
          <w:tab/>
        </w:r>
        <w:r w:rsidR="002B1D1A">
          <w:rPr>
            <w:noProof/>
            <w:webHidden/>
          </w:rPr>
          <w:fldChar w:fldCharType="begin"/>
        </w:r>
        <w:r w:rsidR="002B1D1A">
          <w:rPr>
            <w:noProof/>
            <w:webHidden/>
          </w:rPr>
          <w:instrText xml:space="preserve"> PAGEREF _Toc391645781 \h </w:instrText>
        </w:r>
        <w:r w:rsidR="002B1D1A">
          <w:rPr>
            <w:noProof/>
            <w:webHidden/>
          </w:rPr>
        </w:r>
        <w:r w:rsidR="002B1D1A">
          <w:rPr>
            <w:noProof/>
            <w:webHidden/>
          </w:rPr>
          <w:fldChar w:fldCharType="separate"/>
        </w:r>
        <w:r w:rsidR="004A3F49">
          <w:rPr>
            <w:noProof/>
            <w:webHidden/>
          </w:rPr>
          <w:t>5</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782" w:history="1">
        <w:r w:rsidR="002B1D1A" w:rsidRPr="006B6B23">
          <w:rPr>
            <w:rStyle w:val="Hyperlink"/>
            <w:noProof/>
          </w:rPr>
          <w:t>Limitações Técnicas</w:t>
        </w:r>
        <w:r w:rsidR="002B1D1A">
          <w:rPr>
            <w:noProof/>
            <w:webHidden/>
          </w:rPr>
          <w:tab/>
        </w:r>
        <w:r w:rsidR="002B1D1A">
          <w:rPr>
            <w:noProof/>
            <w:webHidden/>
          </w:rPr>
          <w:fldChar w:fldCharType="begin"/>
        </w:r>
        <w:r w:rsidR="002B1D1A">
          <w:rPr>
            <w:noProof/>
            <w:webHidden/>
          </w:rPr>
          <w:instrText xml:space="preserve"> PAGEREF _Toc391645782 \h </w:instrText>
        </w:r>
        <w:r w:rsidR="002B1D1A">
          <w:rPr>
            <w:noProof/>
            <w:webHidden/>
          </w:rPr>
        </w:r>
        <w:r w:rsidR="002B1D1A">
          <w:rPr>
            <w:noProof/>
            <w:webHidden/>
          </w:rPr>
          <w:fldChar w:fldCharType="separate"/>
        </w:r>
        <w:r w:rsidR="004A3F49">
          <w:rPr>
            <w:noProof/>
            <w:webHidden/>
          </w:rPr>
          <w:t>5</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783" w:history="1">
        <w:r w:rsidR="002B1D1A" w:rsidRPr="006B6B23">
          <w:rPr>
            <w:rStyle w:val="Hyperlink"/>
            <w:noProof/>
          </w:rPr>
          <w:t>Cumprimento das Leis</w:t>
        </w:r>
        <w:r w:rsidR="002B1D1A">
          <w:rPr>
            <w:noProof/>
            <w:webHidden/>
          </w:rPr>
          <w:tab/>
        </w:r>
        <w:r w:rsidR="002B1D1A">
          <w:rPr>
            <w:noProof/>
            <w:webHidden/>
          </w:rPr>
          <w:fldChar w:fldCharType="begin"/>
        </w:r>
        <w:r w:rsidR="002B1D1A">
          <w:rPr>
            <w:noProof/>
            <w:webHidden/>
          </w:rPr>
          <w:instrText xml:space="preserve"> PAGEREF _Toc391645783 \h </w:instrText>
        </w:r>
        <w:r w:rsidR="002B1D1A">
          <w:rPr>
            <w:noProof/>
            <w:webHidden/>
          </w:rPr>
        </w:r>
        <w:r w:rsidR="002B1D1A">
          <w:rPr>
            <w:noProof/>
            <w:webHidden/>
          </w:rPr>
          <w:fldChar w:fldCharType="separate"/>
        </w:r>
        <w:r w:rsidR="004A3F49">
          <w:rPr>
            <w:noProof/>
            <w:webHidden/>
          </w:rPr>
          <w:t>5</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784" w:history="1">
        <w:r w:rsidR="002B1D1A" w:rsidRPr="006B6B23">
          <w:rPr>
            <w:rStyle w:val="Hyperlink"/>
            <w:noProof/>
          </w:rPr>
          <w:t>Direitos Adquiridos</w:t>
        </w:r>
        <w:r w:rsidR="002B1D1A">
          <w:rPr>
            <w:noProof/>
            <w:webHidden/>
          </w:rPr>
          <w:tab/>
        </w:r>
        <w:r w:rsidR="002B1D1A">
          <w:rPr>
            <w:noProof/>
            <w:webHidden/>
          </w:rPr>
          <w:fldChar w:fldCharType="begin"/>
        </w:r>
        <w:r w:rsidR="002B1D1A">
          <w:rPr>
            <w:noProof/>
            <w:webHidden/>
          </w:rPr>
          <w:instrText xml:space="preserve"> PAGEREF _Toc391645784 \h </w:instrText>
        </w:r>
        <w:r w:rsidR="002B1D1A">
          <w:rPr>
            <w:noProof/>
            <w:webHidden/>
          </w:rPr>
        </w:r>
        <w:r w:rsidR="002B1D1A">
          <w:rPr>
            <w:noProof/>
            <w:webHidden/>
          </w:rPr>
          <w:fldChar w:fldCharType="separate"/>
        </w:r>
        <w:r w:rsidR="004A3F49">
          <w:rPr>
            <w:noProof/>
            <w:webHidden/>
          </w:rPr>
          <w:t>6</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785" w:history="1">
        <w:r w:rsidR="002B1D1A" w:rsidRPr="006B6B23">
          <w:rPr>
            <w:rStyle w:val="Hyperlink"/>
            <w:noProof/>
          </w:rPr>
          <w:t>Notificações Eletrônicas</w:t>
        </w:r>
        <w:r w:rsidR="002B1D1A">
          <w:rPr>
            <w:noProof/>
            <w:webHidden/>
          </w:rPr>
          <w:tab/>
        </w:r>
        <w:r w:rsidR="002B1D1A">
          <w:rPr>
            <w:noProof/>
            <w:webHidden/>
          </w:rPr>
          <w:fldChar w:fldCharType="begin"/>
        </w:r>
        <w:r w:rsidR="002B1D1A">
          <w:rPr>
            <w:noProof/>
            <w:webHidden/>
          </w:rPr>
          <w:instrText xml:space="preserve"> PAGEREF _Toc391645785 \h </w:instrText>
        </w:r>
        <w:r w:rsidR="002B1D1A">
          <w:rPr>
            <w:noProof/>
            <w:webHidden/>
          </w:rPr>
        </w:r>
        <w:r w:rsidR="002B1D1A">
          <w:rPr>
            <w:noProof/>
            <w:webHidden/>
          </w:rPr>
          <w:fldChar w:fldCharType="separate"/>
        </w:r>
        <w:r w:rsidR="004A3F49">
          <w:rPr>
            <w:noProof/>
            <w:webHidden/>
          </w:rPr>
          <w:t>6</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786" w:history="1">
        <w:r w:rsidR="002B1D1A" w:rsidRPr="006B6B23">
          <w:rPr>
            <w:rStyle w:val="Hyperlink"/>
            <w:noProof/>
          </w:rPr>
          <w:t>Reconsignação da Licença</w:t>
        </w:r>
        <w:r w:rsidR="002B1D1A">
          <w:rPr>
            <w:noProof/>
            <w:webHidden/>
          </w:rPr>
          <w:tab/>
        </w:r>
        <w:r w:rsidR="002B1D1A">
          <w:rPr>
            <w:noProof/>
            <w:webHidden/>
          </w:rPr>
          <w:fldChar w:fldCharType="begin"/>
        </w:r>
        <w:r w:rsidR="002B1D1A">
          <w:rPr>
            <w:noProof/>
            <w:webHidden/>
          </w:rPr>
          <w:instrText xml:space="preserve"> PAGEREF _Toc391645786 \h </w:instrText>
        </w:r>
        <w:r w:rsidR="002B1D1A">
          <w:rPr>
            <w:noProof/>
            <w:webHidden/>
          </w:rPr>
        </w:r>
        <w:r w:rsidR="002B1D1A">
          <w:rPr>
            <w:noProof/>
            <w:webHidden/>
          </w:rPr>
          <w:fldChar w:fldCharType="separate"/>
        </w:r>
        <w:r w:rsidR="004A3F49">
          <w:rPr>
            <w:noProof/>
            <w:webHidden/>
          </w:rPr>
          <w:t>6</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787" w:history="1">
        <w:r w:rsidR="002B1D1A" w:rsidRPr="006B6B23">
          <w:rPr>
            <w:rStyle w:val="Hyperlink"/>
            <w:noProof/>
          </w:rPr>
          <w:t>Componentes de Fontes</w:t>
        </w:r>
        <w:r w:rsidR="002B1D1A">
          <w:rPr>
            <w:noProof/>
            <w:webHidden/>
          </w:rPr>
          <w:tab/>
        </w:r>
        <w:r w:rsidR="002B1D1A">
          <w:rPr>
            <w:noProof/>
            <w:webHidden/>
          </w:rPr>
          <w:fldChar w:fldCharType="begin"/>
        </w:r>
        <w:r w:rsidR="002B1D1A">
          <w:rPr>
            <w:noProof/>
            <w:webHidden/>
          </w:rPr>
          <w:instrText xml:space="preserve"> PAGEREF _Toc391645787 \h </w:instrText>
        </w:r>
        <w:r w:rsidR="002B1D1A">
          <w:rPr>
            <w:noProof/>
            <w:webHidden/>
          </w:rPr>
        </w:r>
        <w:r w:rsidR="002B1D1A">
          <w:rPr>
            <w:noProof/>
            <w:webHidden/>
          </w:rPr>
          <w:fldChar w:fldCharType="separate"/>
        </w:r>
        <w:r w:rsidR="004A3F49">
          <w:rPr>
            <w:noProof/>
            <w:webHidden/>
          </w:rPr>
          <w:t>6</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788" w:history="1">
        <w:r w:rsidR="002B1D1A" w:rsidRPr="006B6B23">
          <w:rPr>
            <w:rStyle w:val="Hyperlink"/>
            <w:noProof/>
          </w:rPr>
          <w:t>Multiplexação</w:t>
        </w:r>
        <w:r w:rsidR="002B1D1A">
          <w:rPr>
            <w:noProof/>
            <w:webHidden/>
          </w:rPr>
          <w:tab/>
        </w:r>
        <w:r w:rsidR="002B1D1A">
          <w:rPr>
            <w:noProof/>
            <w:webHidden/>
          </w:rPr>
          <w:fldChar w:fldCharType="begin"/>
        </w:r>
        <w:r w:rsidR="002B1D1A">
          <w:rPr>
            <w:noProof/>
            <w:webHidden/>
          </w:rPr>
          <w:instrText xml:space="preserve"> PAGEREF _Toc391645788 \h </w:instrText>
        </w:r>
        <w:r w:rsidR="002B1D1A">
          <w:rPr>
            <w:noProof/>
            <w:webHidden/>
          </w:rPr>
        </w:r>
        <w:r w:rsidR="002B1D1A">
          <w:rPr>
            <w:noProof/>
            <w:webHidden/>
          </w:rPr>
          <w:fldChar w:fldCharType="separate"/>
        </w:r>
        <w:r w:rsidR="004A3F49">
          <w:rPr>
            <w:noProof/>
            <w:webHidden/>
          </w:rPr>
          <w:t>6</w:t>
        </w:r>
        <w:r w:rsidR="002B1D1A">
          <w:rPr>
            <w:noProof/>
            <w:webHidden/>
          </w:rPr>
          <w:fldChar w:fldCharType="end"/>
        </w:r>
      </w:hyperlink>
    </w:p>
    <w:p w:rsidR="002B1D1A" w:rsidRDefault="00EA64EF">
      <w:pPr>
        <w:pStyle w:val="TOC1"/>
        <w:tabs>
          <w:tab w:val="right" w:leader="dot" w:pos="5030"/>
        </w:tabs>
        <w:rPr>
          <w:rFonts w:eastAsiaTheme="minorEastAsia"/>
          <w:b w:val="0"/>
          <w:caps w:val="0"/>
          <w:noProof/>
          <w:sz w:val="22"/>
        </w:rPr>
      </w:pPr>
      <w:hyperlink w:anchor="_Toc391645789" w:history="1">
        <w:r w:rsidR="002B1D1A" w:rsidRPr="006B6B23">
          <w:rPr>
            <w:rStyle w:val="Hyperlink"/>
            <w:noProof/>
          </w:rPr>
          <w:t>Termos de Privacidade e Segurança</w:t>
        </w:r>
        <w:r w:rsidR="002B1D1A">
          <w:rPr>
            <w:noProof/>
            <w:webHidden/>
          </w:rPr>
          <w:tab/>
        </w:r>
        <w:r w:rsidR="002B1D1A">
          <w:rPr>
            <w:noProof/>
            <w:webHidden/>
          </w:rPr>
          <w:fldChar w:fldCharType="begin"/>
        </w:r>
        <w:r w:rsidR="002B1D1A">
          <w:rPr>
            <w:noProof/>
            <w:webHidden/>
          </w:rPr>
          <w:instrText xml:space="preserve"> PAGEREF _Toc391645789 \h </w:instrText>
        </w:r>
        <w:r w:rsidR="002B1D1A">
          <w:rPr>
            <w:noProof/>
            <w:webHidden/>
          </w:rPr>
        </w:r>
        <w:r w:rsidR="002B1D1A">
          <w:rPr>
            <w:noProof/>
            <w:webHidden/>
          </w:rPr>
          <w:fldChar w:fldCharType="separate"/>
        </w:r>
        <w:r w:rsidR="004A3F49">
          <w:rPr>
            <w:noProof/>
            <w:webHidden/>
          </w:rPr>
          <w:t>7</w:t>
        </w:r>
        <w:r w:rsidR="002B1D1A">
          <w:rPr>
            <w:noProof/>
            <w:webHidden/>
          </w:rPr>
          <w:fldChar w:fldCharType="end"/>
        </w:r>
      </w:hyperlink>
    </w:p>
    <w:p w:rsidR="002B1D1A" w:rsidRDefault="00EA64EF">
      <w:pPr>
        <w:pStyle w:val="TOC4"/>
        <w:rPr>
          <w:rFonts w:eastAsiaTheme="minorEastAsia"/>
          <w:smallCaps w:val="0"/>
          <w:noProof/>
          <w:sz w:val="22"/>
        </w:rPr>
      </w:pPr>
      <w:hyperlink w:anchor="_Toc391645790" w:history="1">
        <w:r w:rsidR="002B1D1A" w:rsidRPr="006B6B23">
          <w:rPr>
            <w:rStyle w:val="Hyperlink"/>
            <w:noProof/>
          </w:rPr>
          <w:t>Termos Gerais de Privacidade e Segurança</w:t>
        </w:r>
        <w:r w:rsidR="002B1D1A">
          <w:rPr>
            <w:noProof/>
            <w:webHidden/>
          </w:rPr>
          <w:tab/>
        </w:r>
        <w:r w:rsidR="002B1D1A">
          <w:rPr>
            <w:noProof/>
            <w:webHidden/>
          </w:rPr>
          <w:fldChar w:fldCharType="begin"/>
        </w:r>
        <w:r w:rsidR="002B1D1A">
          <w:rPr>
            <w:noProof/>
            <w:webHidden/>
          </w:rPr>
          <w:instrText xml:space="preserve"> PAGEREF _Toc391645790 \h </w:instrText>
        </w:r>
        <w:r w:rsidR="002B1D1A">
          <w:rPr>
            <w:noProof/>
            <w:webHidden/>
          </w:rPr>
        </w:r>
        <w:r w:rsidR="002B1D1A">
          <w:rPr>
            <w:noProof/>
            <w:webHidden/>
          </w:rPr>
          <w:fldChar w:fldCharType="separate"/>
        </w:r>
        <w:r w:rsidR="004A3F49">
          <w:rPr>
            <w:noProof/>
            <w:webHidden/>
          </w:rPr>
          <w:t>7</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791" w:history="1">
        <w:r w:rsidR="002B1D1A" w:rsidRPr="006B6B23">
          <w:rPr>
            <w:rStyle w:val="Hyperlink"/>
            <w:noProof/>
          </w:rPr>
          <w:t>Escopo</w:t>
        </w:r>
        <w:r w:rsidR="002B1D1A">
          <w:rPr>
            <w:noProof/>
            <w:webHidden/>
          </w:rPr>
          <w:tab/>
        </w:r>
        <w:r w:rsidR="002B1D1A">
          <w:rPr>
            <w:noProof/>
            <w:webHidden/>
          </w:rPr>
          <w:fldChar w:fldCharType="begin"/>
        </w:r>
        <w:r w:rsidR="002B1D1A">
          <w:rPr>
            <w:noProof/>
            <w:webHidden/>
          </w:rPr>
          <w:instrText xml:space="preserve"> PAGEREF _Toc391645791 \h </w:instrText>
        </w:r>
        <w:r w:rsidR="002B1D1A">
          <w:rPr>
            <w:noProof/>
            <w:webHidden/>
          </w:rPr>
        </w:r>
        <w:r w:rsidR="002B1D1A">
          <w:rPr>
            <w:noProof/>
            <w:webHidden/>
          </w:rPr>
          <w:fldChar w:fldCharType="separate"/>
        </w:r>
        <w:r w:rsidR="004A3F49">
          <w:rPr>
            <w:noProof/>
            <w:webHidden/>
          </w:rPr>
          <w:t>7</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792" w:history="1">
        <w:r w:rsidR="002B1D1A" w:rsidRPr="006B6B23">
          <w:rPr>
            <w:rStyle w:val="Hyperlink"/>
            <w:noProof/>
          </w:rPr>
          <w:t>Uso dos Dados do Cliente</w:t>
        </w:r>
        <w:r w:rsidR="002B1D1A">
          <w:rPr>
            <w:noProof/>
            <w:webHidden/>
          </w:rPr>
          <w:tab/>
        </w:r>
        <w:r w:rsidR="002B1D1A">
          <w:rPr>
            <w:noProof/>
            <w:webHidden/>
          </w:rPr>
          <w:fldChar w:fldCharType="begin"/>
        </w:r>
        <w:r w:rsidR="002B1D1A">
          <w:rPr>
            <w:noProof/>
            <w:webHidden/>
          </w:rPr>
          <w:instrText xml:space="preserve"> PAGEREF _Toc391645792 \h </w:instrText>
        </w:r>
        <w:r w:rsidR="002B1D1A">
          <w:rPr>
            <w:noProof/>
            <w:webHidden/>
          </w:rPr>
        </w:r>
        <w:r w:rsidR="002B1D1A">
          <w:rPr>
            <w:noProof/>
            <w:webHidden/>
          </w:rPr>
          <w:fldChar w:fldCharType="separate"/>
        </w:r>
        <w:r w:rsidR="004A3F49">
          <w:rPr>
            <w:noProof/>
            <w:webHidden/>
          </w:rPr>
          <w:t>7</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793" w:history="1">
        <w:r w:rsidR="002B1D1A" w:rsidRPr="006B6B23">
          <w:rPr>
            <w:rStyle w:val="Hyperlink"/>
            <w:noProof/>
          </w:rPr>
          <w:t>Divulgação dos Dados do Cliente</w:t>
        </w:r>
        <w:r w:rsidR="002B1D1A">
          <w:rPr>
            <w:noProof/>
            <w:webHidden/>
          </w:rPr>
          <w:tab/>
        </w:r>
        <w:r w:rsidR="002B1D1A">
          <w:rPr>
            <w:noProof/>
            <w:webHidden/>
          </w:rPr>
          <w:fldChar w:fldCharType="begin"/>
        </w:r>
        <w:r w:rsidR="002B1D1A">
          <w:rPr>
            <w:noProof/>
            <w:webHidden/>
          </w:rPr>
          <w:instrText xml:space="preserve"> PAGEREF _Toc391645793 \h </w:instrText>
        </w:r>
        <w:r w:rsidR="002B1D1A">
          <w:rPr>
            <w:noProof/>
            <w:webHidden/>
          </w:rPr>
        </w:r>
        <w:r w:rsidR="002B1D1A">
          <w:rPr>
            <w:noProof/>
            <w:webHidden/>
          </w:rPr>
          <w:fldChar w:fldCharType="separate"/>
        </w:r>
        <w:r w:rsidR="004A3F49">
          <w:rPr>
            <w:noProof/>
            <w:webHidden/>
          </w:rPr>
          <w:t>7</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794" w:history="1">
        <w:r w:rsidR="002B1D1A" w:rsidRPr="006B6B23">
          <w:rPr>
            <w:rStyle w:val="Hyperlink"/>
            <w:noProof/>
          </w:rPr>
          <w:t>Instituições Educacionais</w:t>
        </w:r>
        <w:r w:rsidR="002B1D1A">
          <w:rPr>
            <w:noProof/>
            <w:webHidden/>
          </w:rPr>
          <w:tab/>
        </w:r>
        <w:r w:rsidR="002B1D1A">
          <w:rPr>
            <w:noProof/>
            <w:webHidden/>
          </w:rPr>
          <w:fldChar w:fldCharType="begin"/>
        </w:r>
        <w:r w:rsidR="002B1D1A">
          <w:rPr>
            <w:noProof/>
            <w:webHidden/>
          </w:rPr>
          <w:instrText xml:space="preserve"> PAGEREF _Toc391645794 \h </w:instrText>
        </w:r>
        <w:r w:rsidR="002B1D1A">
          <w:rPr>
            <w:noProof/>
            <w:webHidden/>
          </w:rPr>
        </w:r>
        <w:r w:rsidR="002B1D1A">
          <w:rPr>
            <w:noProof/>
            <w:webHidden/>
          </w:rPr>
          <w:fldChar w:fldCharType="separate"/>
        </w:r>
        <w:r w:rsidR="004A3F49">
          <w:rPr>
            <w:noProof/>
            <w:webHidden/>
          </w:rPr>
          <w:t>7</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795" w:history="1">
        <w:r w:rsidR="002B1D1A" w:rsidRPr="006B6B23">
          <w:rPr>
            <w:rStyle w:val="Hyperlink"/>
            <w:noProof/>
          </w:rPr>
          <w:t>Segurança</w:t>
        </w:r>
        <w:r w:rsidR="002B1D1A">
          <w:rPr>
            <w:noProof/>
            <w:webHidden/>
          </w:rPr>
          <w:tab/>
        </w:r>
        <w:r w:rsidR="002B1D1A">
          <w:rPr>
            <w:noProof/>
            <w:webHidden/>
          </w:rPr>
          <w:fldChar w:fldCharType="begin"/>
        </w:r>
        <w:r w:rsidR="002B1D1A">
          <w:rPr>
            <w:noProof/>
            <w:webHidden/>
          </w:rPr>
          <w:instrText xml:space="preserve"> PAGEREF _Toc391645795 \h </w:instrText>
        </w:r>
        <w:r w:rsidR="002B1D1A">
          <w:rPr>
            <w:noProof/>
            <w:webHidden/>
          </w:rPr>
        </w:r>
        <w:r w:rsidR="002B1D1A">
          <w:rPr>
            <w:noProof/>
            <w:webHidden/>
          </w:rPr>
          <w:fldChar w:fldCharType="separate"/>
        </w:r>
        <w:r w:rsidR="004A3F49">
          <w:rPr>
            <w:noProof/>
            <w:webHidden/>
          </w:rPr>
          <w:t>7</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796" w:history="1">
        <w:r w:rsidR="002B1D1A" w:rsidRPr="006B6B23">
          <w:rPr>
            <w:rStyle w:val="Hyperlink"/>
            <w:noProof/>
          </w:rPr>
          <w:t>Notificação de Incidentes de Segurança</w:t>
        </w:r>
        <w:r w:rsidR="002B1D1A">
          <w:rPr>
            <w:noProof/>
            <w:webHidden/>
          </w:rPr>
          <w:tab/>
        </w:r>
        <w:r w:rsidR="002B1D1A">
          <w:rPr>
            <w:noProof/>
            <w:webHidden/>
          </w:rPr>
          <w:fldChar w:fldCharType="begin"/>
        </w:r>
        <w:r w:rsidR="002B1D1A">
          <w:rPr>
            <w:noProof/>
            <w:webHidden/>
          </w:rPr>
          <w:instrText xml:space="preserve"> PAGEREF _Toc391645796 \h </w:instrText>
        </w:r>
        <w:r w:rsidR="002B1D1A">
          <w:rPr>
            <w:noProof/>
            <w:webHidden/>
          </w:rPr>
        </w:r>
        <w:r w:rsidR="002B1D1A">
          <w:rPr>
            <w:noProof/>
            <w:webHidden/>
          </w:rPr>
          <w:fldChar w:fldCharType="separate"/>
        </w:r>
        <w:r w:rsidR="004A3F49">
          <w:rPr>
            <w:noProof/>
            <w:webHidden/>
          </w:rPr>
          <w:t>8</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797" w:history="1">
        <w:r w:rsidR="002B1D1A" w:rsidRPr="006B6B23">
          <w:rPr>
            <w:rStyle w:val="Hyperlink"/>
            <w:noProof/>
          </w:rPr>
          <w:t>Local do Processamento de Dados</w:t>
        </w:r>
        <w:r w:rsidR="002B1D1A">
          <w:rPr>
            <w:noProof/>
            <w:webHidden/>
          </w:rPr>
          <w:tab/>
        </w:r>
        <w:r w:rsidR="002B1D1A">
          <w:rPr>
            <w:noProof/>
            <w:webHidden/>
          </w:rPr>
          <w:fldChar w:fldCharType="begin"/>
        </w:r>
        <w:r w:rsidR="002B1D1A">
          <w:rPr>
            <w:noProof/>
            <w:webHidden/>
          </w:rPr>
          <w:instrText xml:space="preserve"> PAGEREF _Toc391645797 \h </w:instrText>
        </w:r>
        <w:r w:rsidR="002B1D1A">
          <w:rPr>
            <w:noProof/>
            <w:webHidden/>
          </w:rPr>
        </w:r>
        <w:r w:rsidR="002B1D1A">
          <w:rPr>
            <w:noProof/>
            <w:webHidden/>
          </w:rPr>
          <w:fldChar w:fldCharType="separate"/>
        </w:r>
        <w:r w:rsidR="004A3F49">
          <w:rPr>
            <w:noProof/>
            <w:webHidden/>
          </w:rPr>
          <w:t>8</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798" w:history="1">
        <w:r w:rsidR="002B1D1A" w:rsidRPr="006B6B23">
          <w:rPr>
            <w:rStyle w:val="Hyperlink"/>
            <w:noProof/>
          </w:rPr>
          <w:t>Lançamentos de Visualizações Prévias</w:t>
        </w:r>
        <w:r w:rsidR="002B1D1A">
          <w:rPr>
            <w:noProof/>
            <w:webHidden/>
          </w:rPr>
          <w:tab/>
        </w:r>
        <w:r w:rsidR="002B1D1A">
          <w:rPr>
            <w:noProof/>
            <w:webHidden/>
          </w:rPr>
          <w:fldChar w:fldCharType="begin"/>
        </w:r>
        <w:r w:rsidR="002B1D1A">
          <w:rPr>
            <w:noProof/>
            <w:webHidden/>
          </w:rPr>
          <w:instrText xml:space="preserve"> PAGEREF _Toc391645798 \h </w:instrText>
        </w:r>
        <w:r w:rsidR="002B1D1A">
          <w:rPr>
            <w:noProof/>
            <w:webHidden/>
          </w:rPr>
        </w:r>
        <w:r w:rsidR="002B1D1A">
          <w:rPr>
            <w:noProof/>
            <w:webHidden/>
          </w:rPr>
          <w:fldChar w:fldCharType="separate"/>
        </w:r>
        <w:r w:rsidR="004A3F49">
          <w:rPr>
            <w:noProof/>
            <w:webHidden/>
          </w:rPr>
          <w:t>8</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799" w:history="1">
        <w:r w:rsidR="002B1D1A" w:rsidRPr="006B6B23">
          <w:rPr>
            <w:rStyle w:val="Hyperlink"/>
            <w:noProof/>
          </w:rPr>
          <w:t>Uso de Subcontratados</w:t>
        </w:r>
        <w:r w:rsidR="002B1D1A">
          <w:rPr>
            <w:noProof/>
            <w:webHidden/>
          </w:rPr>
          <w:tab/>
        </w:r>
        <w:r w:rsidR="002B1D1A">
          <w:rPr>
            <w:noProof/>
            <w:webHidden/>
          </w:rPr>
          <w:fldChar w:fldCharType="begin"/>
        </w:r>
        <w:r w:rsidR="002B1D1A">
          <w:rPr>
            <w:noProof/>
            <w:webHidden/>
          </w:rPr>
          <w:instrText xml:space="preserve"> PAGEREF _Toc391645799 \h </w:instrText>
        </w:r>
        <w:r w:rsidR="002B1D1A">
          <w:rPr>
            <w:noProof/>
            <w:webHidden/>
          </w:rPr>
        </w:r>
        <w:r w:rsidR="002B1D1A">
          <w:rPr>
            <w:noProof/>
            <w:webHidden/>
          </w:rPr>
          <w:fldChar w:fldCharType="separate"/>
        </w:r>
        <w:r w:rsidR="004A3F49">
          <w:rPr>
            <w:noProof/>
            <w:webHidden/>
          </w:rPr>
          <w:t>8</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800" w:history="1">
        <w:r w:rsidR="002B1D1A" w:rsidRPr="006B6B23">
          <w:rPr>
            <w:rStyle w:val="Hyperlink"/>
            <w:noProof/>
          </w:rPr>
          <w:t>Como Entrar em Contato com a Microsoft</w:t>
        </w:r>
        <w:r w:rsidR="002B1D1A">
          <w:rPr>
            <w:noProof/>
            <w:webHidden/>
          </w:rPr>
          <w:tab/>
        </w:r>
        <w:r w:rsidR="002B1D1A">
          <w:rPr>
            <w:noProof/>
            <w:webHidden/>
          </w:rPr>
          <w:fldChar w:fldCharType="begin"/>
        </w:r>
        <w:r w:rsidR="002B1D1A">
          <w:rPr>
            <w:noProof/>
            <w:webHidden/>
          </w:rPr>
          <w:instrText xml:space="preserve"> PAGEREF _Toc391645800 \h </w:instrText>
        </w:r>
        <w:r w:rsidR="002B1D1A">
          <w:rPr>
            <w:noProof/>
            <w:webHidden/>
          </w:rPr>
        </w:r>
        <w:r w:rsidR="002B1D1A">
          <w:rPr>
            <w:noProof/>
            <w:webHidden/>
          </w:rPr>
          <w:fldChar w:fldCharType="separate"/>
        </w:r>
        <w:r w:rsidR="004A3F49">
          <w:rPr>
            <w:noProof/>
            <w:webHidden/>
          </w:rPr>
          <w:t>8</w:t>
        </w:r>
        <w:r w:rsidR="002B1D1A">
          <w:rPr>
            <w:noProof/>
            <w:webHidden/>
          </w:rPr>
          <w:fldChar w:fldCharType="end"/>
        </w:r>
      </w:hyperlink>
    </w:p>
    <w:p w:rsidR="002B1D1A" w:rsidRDefault="00EA64EF">
      <w:pPr>
        <w:pStyle w:val="TOC4"/>
        <w:rPr>
          <w:rFonts w:eastAsiaTheme="minorEastAsia"/>
          <w:smallCaps w:val="0"/>
          <w:noProof/>
          <w:sz w:val="22"/>
        </w:rPr>
      </w:pPr>
      <w:hyperlink w:anchor="_Toc391645801" w:history="1">
        <w:r w:rsidR="002B1D1A" w:rsidRPr="006B6B23">
          <w:rPr>
            <w:rStyle w:val="Hyperlink"/>
            <w:noProof/>
          </w:rPr>
          <w:t>Termos de Processamento de Dados</w:t>
        </w:r>
        <w:r w:rsidR="002B1D1A">
          <w:rPr>
            <w:noProof/>
            <w:webHidden/>
          </w:rPr>
          <w:tab/>
        </w:r>
        <w:r w:rsidR="002B1D1A">
          <w:rPr>
            <w:noProof/>
            <w:webHidden/>
          </w:rPr>
          <w:fldChar w:fldCharType="begin"/>
        </w:r>
        <w:r w:rsidR="002B1D1A">
          <w:rPr>
            <w:noProof/>
            <w:webHidden/>
          </w:rPr>
          <w:instrText xml:space="preserve"> PAGEREF _Toc391645801 \h </w:instrText>
        </w:r>
        <w:r w:rsidR="002B1D1A">
          <w:rPr>
            <w:noProof/>
            <w:webHidden/>
          </w:rPr>
        </w:r>
        <w:r w:rsidR="002B1D1A">
          <w:rPr>
            <w:noProof/>
            <w:webHidden/>
          </w:rPr>
          <w:fldChar w:fldCharType="separate"/>
        </w:r>
        <w:r w:rsidR="004A3F49">
          <w:rPr>
            <w:noProof/>
            <w:webHidden/>
          </w:rPr>
          <w:t>8</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802" w:history="1">
        <w:r w:rsidR="002B1D1A" w:rsidRPr="006B6B23">
          <w:rPr>
            <w:rStyle w:val="Hyperlink"/>
            <w:noProof/>
          </w:rPr>
          <w:t>Local dos Dados do Cliente em Repouso</w:t>
        </w:r>
        <w:r w:rsidR="002B1D1A">
          <w:rPr>
            <w:noProof/>
            <w:webHidden/>
          </w:rPr>
          <w:tab/>
        </w:r>
        <w:r w:rsidR="002B1D1A">
          <w:rPr>
            <w:noProof/>
            <w:webHidden/>
          </w:rPr>
          <w:fldChar w:fldCharType="begin"/>
        </w:r>
        <w:r w:rsidR="002B1D1A">
          <w:rPr>
            <w:noProof/>
            <w:webHidden/>
          </w:rPr>
          <w:instrText xml:space="preserve"> PAGEREF _Toc391645802 \h </w:instrText>
        </w:r>
        <w:r w:rsidR="002B1D1A">
          <w:rPr>
            <w:noProof/>
            <w:webHidden/>
          </w:rPr>
        </w:r>
        <w:r w:rsidR="002B1D1A">
          <w:rPr>
            <w:noProof/>
            <w:webHidden/>
          </w:rPr>
          <w:fldChar w:fldCharType="separate"/>
        </w:r>
        <w:r w:rsidR="004A3F49">
          <w:rPr>
            <w:noProof/>
            <w:webHidden/>
          </w:rPr>
          <w:t>9</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803" w:history="1">
        <w:r w:rsidR="002B1D1A" w:rsidRPr="006B6B23">
          <w:rPr>
            <w:rStyle w:val="Hyperlink"/>
            <w:noProof/>
          </w:rPr>
          <w:t>Privacidade</w:t>
        </w:r>
        <w:r w:rsidR="002B1D1A">
          <w:rPr>
            <w:noProof/>
            <w:webHidden/>
          </w:rPr>
          <w:tab/>
        </w:r>
        <w:r w:rsidR="002B1D1A">
          <w:rPr>
            <w:noProof/>
            <w:webHidden/>
          </w:rPr>
          <w:fldChar w:fldCharType="begin"/>
        </w:r>
        <w:r w:rsidR="002B1D1A">
          <w:rPr>
            <w:noProof/>
            <w:webHidden/>
          </w:rPr>
          <w:instrText xml:space="preserve"> PAGEREF _Toc391645803 \h </w:instrText>
        </w:r>
        <w:r w:rsidR="002B1D1A">
          <w:rPr>
            <w:noProof/>
            <w:webHidden/>
          </w:rPr>
        </w:r>
        <w:r w:rsidR="002B1D1A">
          <w:rPr>
            <w:noProof/>
            <w:webHidden/>
          </w:rPr>
          <w:fldChar w:fldCharType="separate"/>
        </w:r>
        <w:r w:rsidR="004A3F49">
          <w:rPr>
            <w:noProof/>
            <w:webHidden/>
          </w:rPr>
          <w:t>10</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804" w:history="1">
        <w:r w:rsidR="002B1D1A" w:rsidRPr="006B6B23">
          <w:rPr>
            <w:rStyle w:val="Hyperlink"/>
            <w:noProof/>
          </w:rPr>
          <w:t>Termos Europeus Adicionais.</w:t>
        </w:r>
        <w:r w:rsidR="002B1D1A">
          <w:rPr>
            <w:noProof/>
            <w:webHidden/>
          </w:rPr>
          <w:tab/>
        </w:r>
        <w:r w:rsidR="002B1D1A">
          <w:rPr>
            <w:noProof/>
            <w:webHidden/>
          </w:rPr>
          <w:fldChar w:fldCharType="begin"/>
        </w:r>
        <w:r w:rsidR="002B1D1A">
          <w:rPr>
            <w:noProof/>
            <w:webHidden/>
          </w:rPr>
          <w:instrText xml:space="preserve"> PAGEREF _Toc391645804 \h </w:instrText>
        </w:r>
        <w:r w:rsidR="002B1D1A">
          <w:rPr>
            <w:noProof/>
            <w:webHidden/>
          </w:rPr>
        </w:r>
        <w:r w:rsidR="002B1D1A">
          <w:rPr>
            <w:noProof/>
            <w:webHidden/>
          </w:rPr>
          <w:fldChar w:fldCharType="separate"/>
        </w:r>
        <w:r w:rsidR="004A3F49">
          <w:rPr>
            <w:noProof/>
            <w:webHidden/>
          </w:rPr>
          <w:t>10</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805" w:history="1">
        <w:r w:rsidR="002B1D1A" w:rsidRPr="006B6B23">
          <w:rPr>
            <w:rStyle w:val="Hyperlink"/>
            <w:noProof/>
          </w:rPr>
          <w:t>Segurança</w:t>
        </w:r>
        <w:r w:rsidR="002B1D1A">
          <w:rPr>
            <w:noProof/>
            <w:webHidden/>
          </w:rPr>
          <w:tab/>
        </w:r>
        <w:r w:rsidR="002B1D1A">
          <w:rPr>
            <w:noProof/>
            <w:webHidden/>
          </w:rPr>
          <w:fldChar w:fldCharType="begin"/>
        </w:r>
        <w:r w:rsidR="002B1D1A">
          <w:rPr>
            <w:noProof/>
            <w:webHidden/>
          </w:rPr>
          <w:instrText xml:space="preserve"> PAGEREF _Toc391645805 \h </w:instrText>
        </w:r>
        <w:r w:rsidR="002B1D1A">
          <w:rPr>
            <w:noProof/>
            <w:webHidden/>
          </w:rPr>
        </w:r>
        <w:r w:rsidR="002B1D1A">
          <w:rPr>
            <w:noProof/>
            <w:webHidden/>
          </w:rPr>
          <w:fldChar w:fldCharType="separate"/>
        </w:r>
        <w:r w:rsidR="004A3F49">
          <w:rPr>
            <w:noProof/>
            <w:webHidden/>
          </w:rPr>
          <w:t>10</w:t>
        </w:r>
        <w:r w:rsidR="002B1D1A">
          <w:rPr>
            <w:noProof/>
            <w:webHidden/>
          </w:rPr>
          <w:fldChar w:fldCharType="end"/>
        </w:r>
      </w:hyperlink>
    </w:p>
    <w:p w:rsidR="002B1D1A" w:rsidRDefault="00EA64EF">
      <w:pPr>
        <w:pStyle w:val="TOC5"/>
        <w:tabs>
          <w:tab w:val="right" w:leader="dot" w:pos="5030"/>
        </w:tabs>
        <w:rPr>
          <w:rFonts w:eastAsiaTheme="minorEastAsia"/>
          <w:noProof/>
          <w:sz w:val="22"/>
        </w:rPr>
      </w:pPr>
      <w:hyperlink w:anchor="_Toc391645806" w:history="1">
        <w:r w:rsidR="002B1D1A" w:rsidRPr="006B6B23">
          <w:rPr>
            <w:rStyle w:val="Hyperlink"/>
            <w:noProof/>
          </w:rPr>
          <w:t>Certificações e Auditorias</w:t>
        </w:r>
        <w:r w:rsidR="002B1D1A">
          <w:rPr>
            <w:noProof/>
            <w:webHidden/>
          </w:rPr>
          <w:tab/>
        </w:r>
        <w:r w:rsidR="002B1D1A">
          <w:rPr>
            <w:noProof/>
            <w:webHidden/>
          </w:rPr>
          <w:fldChar w:fldCharType="begin"/>
        </w:r>
        <w:r w:rsidR="002B1D1A">
          <w:rPr>
            <w:noProof/>
            <w:webHidden/>
          </w:rPr>
          <w:instrText xml:space="preserve"> PAGEREF _Toc391645806 \h </w:instrText>
        </w:r>
        <w:r w:rsidR="002B1D1A">
          <w:rPr>
            <w:noProof/>
            <w:webHidden/>
          </w:rPr>
        </w:r>
        <w:r w:rsidR="002B1D1A">
          <w:rPr>
            <w:noProof/>
            <w:webHidden/>
          </w:rPr>
          <w:fldChar w:fldCharType="separate"/>
        </w:r>
        <w:r w:rsidR="004A3F49">
          <w:rPr>
            <w:noProof/>
            <w:webHidden/>
          </w:rPr>
          <w:t>12</w:t>
        </w:r>
        <w:r w:rsidR="002B1D1A">
          <w:rPr>
            <w:noProof/>
            <w:webHidden/>
          </w:rPr>
          <w:fldChar w:fldCharType="end"/>
        </w:r>
      </w:hyperlink>
    </w:p>
    <w:p w:rsidR="002B1D1A" w:rsidRDefault="00EA64EF">
      <w:pPr>
        <w:pStyle w:val="TOC1"/>
        <w:tabs>
          <w:tab w:val="right" w:leader="dot" w:pos="5030"/>
        </w:tabs>
        <w:rPr>
          <w:rFonts w:eastAsiaTheme="minorEastAsia"/>
          <w:b w:val="0"/>
          <w:caps w:val="0"/>
          <w:noProof/>
          <w:sz w:val="22"/>
        </w:rPr>
      </w:pPr>
      <w:hyperlink w:anchor="_Toc391645807" w:history="1">
        <w:r w:rsidR="002B1D1A" w:rsidRPr="006B6B23">
          <w:rPr>
            <w:rStyle w:val="Hyperlink"/>
            <w:noProof/>
          </w:rPr>
          <w:t>Termos Específicos dos Serviços Online</w:t>
        </w:r>
        <w:r w:rsidR="002B1D1A">
          <w:rPr>
            <w:noProof/>
            <w:webHidden/>
          </w:rPr>
          <w:tab/>
        </w:r>
        <w:r w:rsidR="002B1D1A">
          <w:rPr>
            <w:noProof/>
            <w:webHidden/>
          </w:rPr>
          <w:fldChar w:fldCharType="begin"/>
        </w:r>
        <w:r w:rsidR="002B1D1A">
          <w:rPr>
            <w:noProof/>
            <w:webHidden/>
          </w:rPr>
          <w:instrText xml:space="preserve"> PAGEREF _Toc391645807 \h </w:instrText>
        </w:r>
        <w:r w:rsidR="002B1D1A">
          <w:rPr>
            <w:noProof/>
            <w:webHidden/>
          </w:rPr>
        </w:r>
        <w:r w:rsidR="002B1D1A">
          <w:rPr>
            <w:noProof/>
            <w:webHidden/>
          </w:rPr>
          <w:fldChar w:fldCharType="separate"/>
        </w:r>
        <w:r w:rsidR="004A3F49">
          <w:rPr>
            <w:noProof/>
            <w:webHidden/>
          </w:rPr>
          <w:t>14</w:t>
        </w:r>
        <w:r w:rsidR="002B1D1A">
          <w:rPr>
            <w:noProof/>
            <w:webHidden/>
          </w:rPr>
          <w:fldChar w:fldCharType="end"/>
        </w:r>
      </w:hyperlink>
    </w:p>
    <w:p w:rsidR="002B1D1A" w:rsidRDefault="00EA64EF">
      <w:pPr>
        <w:pStyle w:val="TOC3"/>
        <w:tabs>
          <w:tab w:val="right" w:leader="dot" w:pos="5030"/>
        </w:tabs>
        <w:rPr>
          <w:rFonts w:eastAsiaTheme="minorEastAsia"/>
          <w:smallCaps w:val="0"/>
          <w:noProof/>
          <w:sz w:val="22"/>
        </w:rPr>
      </w:pPr>
      <w:hyperlink w:anchor="_Toc391645808" w:history="1">
        <w:r w:rsidR="002B1D1A" w:rsidRPr="006B6B23">
          <w:rPr>
            <w:rStyle w:val="Hyperlink"/>
            <w:noProof/>
          </w:rPr>
          <w:t>Serviços do Microsoft Azure</w:t>
        </w:r>
        <w:r w:rsidR="002B1D1A">
          <w:rPr>
            <w:noProof/>
            <w:webHidden/>
          </w:rPr>
          <w:tab/>
        </w:r>
        <w:r w:rsidR="002B1D1A">
          <w:rPr>
            <w:noProof/>
            <w:webHidden/>
          </w:rPr>
          <w:fldChar w:fldCharType="begin"/>
        </w:r>
        <w:r w:rsidR="002B1D1A">
          <w:rPr>
            <w:noProof/>
            <w:webHidden/>
          </w:rPr>
          <w:instrText xml:space="preserve"> PAGEREF _Toc391645808 \h </w:instrText>
        </w:r>
        <w:r w:rsidR="002B1D1A">
          <w:rPr>
            <w:noProof/>
            <w:webHidden/>
          </w:rPr>
        </w:r>
        <w:r w:rsidR="002B1D1A">
          <w:rPr>
            <w:noProof/>
            <w:webHidden/>
          </w:rPr>
          <w:fldChar w:fldCharType="separate"/>
        </w:r>
        <w:r w:rsidR="004A3F49">
          <w:rPr>
            <w:noProof/>
            <w:webHidden/>
          </w:rPr>
          <w:t>14</w:t>
        </w:r>
        <w:r w:rsidR="002B1D1A">
          <w:rPr>
            <w:noProof/>
            <w:webHidden/>
          </w:rPr>
          <w:fldChar w:fldCharType="end"/>
        </w:r>
      </w:hyperlink>
    </w:p>
    <w:p w:rsidR="002B1D1A" w:rsidRDefault="00EA64EF">
      <w:pPr>
        <w:pStyle w:val="TOC3"/>
        <w:tabs>
          <w:tab w:val="right" w:leader="dot" w:pos="5030"/>
        </w:tabs>
        <w:rPr>
          <w:rFonts w:eastAsiaTheme="minorEastAsia"/>
          <w:smallCaps w:val="0"/>
          <w:noProof/>
          <w:sz w:val="22"/>
        </w:rPr>
      </w:pPr>
      <w:hyperlink w:anchor="_Toc391645809" w:history="1">
        <w:r w:rsidR="002B1D1A" w:rsidRPr="006B6B23">
          <w:rPr>
            <w:rStyle w:val="Hyperlink"/>
            <w:noProof/>
          </w:rPr>
          <w:t>Microsoft Dynamics Online</w:t>
        </w:r>
        <w:r w:rsidR="002B1D1A">
          <w:rPr>
            <w:noProof/>
            <w:webHidden/>
          </w:rPr>
          <w:tab/>
        </w:r>
        <w:r w:rsidR="002B1D1A">
          <w:rPr>
            <w:noProof/>
            <w:webHidden/>
          </w:rPr>
          <w:fldChar w:fldCharType="begin"/>
        </w:r>
        <w:r w:rsidR="002B1D1A">
          <w:rPr>
            <w:noProof/>
            <w:webHidden/>
          </w:rPr>
          <w:instrText xml:space="preserve"> PAGEREF _Toc391645809 \h </w:instrText>
        </w:r>
        <w:r w:rsidR="002B1D1A">
          <w:rPr>
            <w:noProof/>
            <w:webHidden/>
          </w:rPr>
        </w:r>
        <w:r w:rsidR="002B1D1A">
          <w:rPr>
            <w:noProof/>
            <w:webHidden/>
          </w:rPr>
          <w:fldChar w:fldCharType="separate"/>
        </w:r>
        <w:r w:rsidR="004A3F49">
          <w:rPr>
            <w:noProof/>
            <w:webHidden/>
          </w:rPr>
          <w:t>15</w:t>
        </w:r>
        <w:r w:rsidR="002B1D1A">
          <w:rPr>
            <w:noProof/>
            <w:webHidden/>
          </w:rPr>
          <w:fldChar w:fldCharType="end"/>
        </w:r>
      </w:hyperlink>
    </w:p>
    <w:p w:rsidR="002B1D1A" w:rsidRDefault="00EA64EF">
      <w:pPr>
        <w:pStyle w:val="TOC2"/>
        <w:tabs>
          <w:tab w:val="right" w:leader="dot" w:pos="5030"/>
        </w:tabs>
        <w:rPr>
          <w:rFonts w:eastAsiaTheme="minorEastAsia"/>
          <w:b w:val="0"/>
          <w:smallCaps w:val="0"/>
          <w:noProof/>
          <w:sz w:val="22"/>
        </w:rPr>
      </w:pPr>
      <w:hyperlink w:anchor="_Toc391645810" w:history="1">
        <w:r w:rsidR="002B1D1A" w:rsidRPr="006B6B23">
          <w:rPr>
            <w:rStyle w:val="Hyperlink"/>
            <w:noProof/>
          </w:rPr>
          <w:t>Serviços do Office 365</w:t>
        </w:r>
        <w:r w:rsidR="002B1D1A">
          <w:rPr>
            <w:noProof/>
            <w:webHidden/>
          </w:rPr>
          <w:tab/>
        </w:r>
        <w:r w:rsidR="002B1D1A">
          <w:rPr>
            <w:noProof/>
            <w:webHidden/>
          </w:rPr>
          <w:fldChar w:fldCharType="begin"/>
        </w:r>
        <w:r w:rsidR="002B1D1A">
          <w:rPr>
            <w:noProof/>
            <w:webHidden/>
          </w:rPr>
          <w:instrText xml:space="preserve"> PAGEREF _Toc391645810 \h </w:instrText>
        </w:r>
        <w:r w:rsidR="002B1D1A">
          <w:rPr>
            <w:noProof/>
            <w:webHidden/>
          </w:rPr>
        </w:r>
        <w:r w:rsidR="002B1D1A">
          <w:rPr>
            <w:noProof/>
            <w:webHidden/>
          </w:rPr>
          <w:fldChar w:fldCharType="separate"/>
        </w:r>
        <w:r w:rsidR="004A3F49">
          <w:rPr>
            <w:noProof/>
            <w:webHidden/>
          </w:rPr>
          <w:t>16</w:t>
        </w:r>
        <w:r w:rsidR="002B1D1A">
          <w:rPr>
            <w:noProof/>
            <w:webHidden/>
          </w:rPr>
          <w:fldChar w:fldCharType="end"/>
        </w:r>
      </w:hyperlink>
    </w:p>
    <w:p w:rsidR="002B1D1A" w:rsidRDefault="00EA64EF">
      <w:pPr>
        <w:pStyle w:val="TOC4"/>
        <w:rPr>
          <w:rFonts w:eastAsiaTheme="minorEastAsia"/>
          <w:smallCaps w:val="0"/>
          <w:noProof/>
          <w:sz w:val="22"/>
        </w:rPr>
      </w:pPr>
      <w:hyperlink w:anchor="_Toc391645811" w:history="1">
        <w:r w:rsidR="002B1D1A" w:rsidRPr="006B6B23">
          <w:rPr>
            <w:rStyle w:val="Hyperlink"/>
            <w:noProof/>
          </w:rPr>
          <w:t>Exchange Online</w:t>
        </w:r>
        <w:r w:rsidR="002B1D1A">
          <w:rPr>
            <w:noProof/>
            <w:webHidden/>
          </w:rPr>
          <w:tab/>
        </w:r>
        <w:r w:rsidR="002B1D1A">
          <w:rPr>
            <w:noProof/>
            <w:webHidden/>
          </w:rPr>
          <w:fldChar w:fldCharType="begin"/>
        </w:r>
        <w:r w:rsidR="002B1D1A">
          <w:rPr>
            <w:noProof/>
            <w:webHidden/>
          </w:rPr>
          <w:instrText xml:space="preserve"> PAGEREF _Toc391645811 \h </w:instrText>
        </w:r>
        <w:r w:rsidR="002B1D1A">
          <w:rPr>
            <w:noProof/>
            <w:webHidden/>
          </w:rPr>
        </w:r>
        <w:r w:rsidR="002B1D1A">
          <w:rPr>
            <w:noProof/>
            <w:webHidden/>
          </w:rPr>
          <w:fldChar w:fldCharType="separate"/>
        </w:r>
        <w:r w:rsidR="004A3F49">
          <w:rPr>
            <w:noProof/>
            <w:webHidden/>
          </w:rPr>
          <w:t>16</w:t>
        </w:r>
        <w:r w:rsidR="002B1D1A">
          <w:rPr>
            <w:noProof/>
            <w:webHidden/>
          </w:rPr>
          <w:fldChar w:fldCharType="end"/>
        </w:r>
      </w:hyperlink>
    </w:p>
    <w:p w:rsidR="002B1D1A" w:rsidRDefault="00EA64EF">
      <w:pPr>
        <w:pStyle w:val="TOC4"/>
        <w:rPr>
          <w:rFonts w:eastAsiaTheme="minorEastAsia"/>
          <w:smallCaps w:val="0"/>
          <w:noProof/>
          <w:sz w:val="22"/>
        </w:rPr>
      </w:pPr>
      <w:hyperlink w:anchor="_Toc391645812" w:history="1">
        <w:r w:rsidR="002B1D1A" w:rsidRPr="006B6B23">
          <w:rPr>
            <w:rStyle w:val="Hyperlink"/>
            <w:noProof/>
          </w:rPr>
          <w:t>Lync Online</w:t>
        </w:r>
        <w:r w:rsidR="002B1D1A">
          <w:rPr>
            <w:noProof/>
            <w:webHidden/>
          </w:rPr>
          <w:tab/>
        </w:r>
        <w:r w:rsidR="002B1D1A">
          <w:rPr>
            <w:noProof/>
            <w:webHidden/>
          </w:rPr>
          <w:fldChar w:fldCharType="begin"/>
        </w:r>
        <w:r w:rsidR="002B1D1A">
          <w:rPr>
            <w:noProof/>
            <w:webHidden/>
          </w:rPr>
          <w:instrText xml:space="preserve"> PAGEREF _Toc391645812 \h </w:instrText>
        </w:r>
        <w:r w:rsidR="002B1D1A">
          <w:rPr>
            <w:noProof/>
            <w:webHidden/>
          </w:rPr>
        </w:r>
        <w:r w:rsidR="002B1D1A">
          <w:rPr>
            <w:noProof/>
            <w:webHidden/>
          </w:rPr>
          <w:fldChar w:fldCharType="separate"/>
        </w:r>
        <w:r w:rsidR="004A3F49">
          <w:rPr>
            <w:noProof/>
            <w:webHidden/>
          </w:rPr>
          <w:t>17</w:t>
        </w:r>
        <w:r w:rsidR="002B1D1A">
          <w:rPr>
            <w:noProof/>
            <w:webHidden/>
          </w:rPr>
          <w:fldChar w:fldCharType="end"/>
        </w:r>
      </w:hyperlink>
    </w:p>
    <w:p w:rsidR="002B1D1A" w:rsidRDefault="00EA64EF">
      <w:pPr>
        <w:pStyle w:val="TOC4"/>
        <w:rPr>
          <w:rFonts w:eastAsiaTheme="minorEastAsia"/>
          <w:smallCaps w:val="0"/>
          <w:noProof/>
          <w:sz w:val="22"/>
        </w:rPr>
      </w:pPr>
      <w:hyperlink w:anchor="_Toc391645813" w:history="1">
        <w:r w:rsidR="002B1D1A" w:rsidRPr="006B6B23">
          <w:rPr>
            <w:rStyle w:val="Hyperlink"/>
            <w:noProof/>
          </w:rPr>
          <w:t>Aplicativos do Office 365</w:t>
        </w:r>
        <w:r w:rsidR="002B1D1A">
          <w:rPr>
            <w:noProof/>
            <w:webHidden/>
          </w:rPr>
          <w:tab/>
        </w:r>
        <w:r w:rsidR="002B1D1A">
          <w:rPr>
            <w:noProof/>
            <w:webHidden/>
          </w:rPr>
          <w:fldChar w:fldCharType="begin"/>
        </w:r>
        <w:r w:rsidR="002B1D1A">
          <w:rPr>
            <w:noProof/>
            <w:webHidden/>
          </w:rPr>
          <w:instrText xml:space="preserve"> PAGEREF _Toc391645813 \h </w:instrText>
        </w:r>
        <w:r w:rsidR="002B1D1A">
          <w:rPr>
            <w:noProof/>
            <w:webHidden/>
          </w:rPr>
        </w:r>
        <w:r w:rsidR="002B1D1A">
          <w:rPr>
            <w:noProof/>
            <w:webHidden/>
          </w:rPr>
          <w:fldChar w:fldCharType="separate"/>
        </w:r>
        <w:r w:rsidR="004A3F49">
          <w:rPr>
            <w:noProof/>
            <w:webHidden/>
          </w:rPr>
          <w:t>18</w:t>
        </w:r>
        <w:r w:rsidR="002B1D1A">
          <w:rPr>
            <w:noProof/>
            <w:webHidden/>
          </w:rPr>
          <w:fldChar w:fldCharType="end"/>
        </w:r>
      </w:hyperlink>
    </w:p>
    <w:p w:rsidR="002B1D1A" w:rsidRDefault="00EA64EF">
      <w:pPr>
        <w:pStyle w:val="TOC4"/>
        <w:rPr>
          <w:rFonts w:eastAsiaTheme="minorEastAsia"/>
          <w:smallCaps w:val="0"/>
          <w:noProof/>
          <w:sz w:val="22"/>
        </w:rPr>
      </w:pPr>
      <w:hyperlink w:anchor="_Toc391645814" w:history="1">
        <w:r w:rsidR="002B1D1A" w:rsidRPr="006B6B23">
          <w:rPr>
            <w:rStyle w:val="Hyperlink"/>
            <w:noProof/>
          </w:rPr>
          <w:t>Office Online</w:t>
        </w:r>
        <w:r w:rsidR="002B1D1A">
          <w:rPr>
            <w:noProof/>
            <w:webHidden/>
          </w:rPr>
          <w:tab/>
        </w:r>
        <w:r w:rsidR="002B1D1A">
          <w:rPr>
            <w:noProof/>
            <w:webHidden/>
          </w:rPr>
          <w:fldChar w:fldCharType="begin"/>
        </w:r>
        <w:r w:rsidR="002B1D1A">
          <w:rPr>
            <w:noProof/>
            <w:webHidden/>
          </w:rPr>
          <w:instrText xml:space="preserve"> PAGEREF _Toc391645814 \h </w:instrText>
        </w:r>
        <w:r w:rsidR="002B1D1A">
          <w:rPr>
            <w:noProof/>
            <w:webHidden/>
          </w:rPr>
        </w:r>
        <w:r w:rsidR="002B1D1A">
          <w:rPr>
            <w:noProof/>
            <w:webHidden/>
          </w:rPr>
          <w:fldChar w:fldCharType="separate"/>
        </w:r>
        <w:r w:rsidR="004A3F49">
          <w:rPr>
            <w:noProof/>
            <w:webHidden/>
          </w:rPr>
          <w:t>18</w:t>
        </w:r>
        <w:r w:rsidR="002B1D1A">
          <w:rPr>
            <w:noProof/>
            <w:webHidden/>
          </w:rPr>
          <w:fldChar w:fldCharType="end"/>
        </w:r>
      </w:hyperlink>
    </w:p>
    <w:p w:rsidR="002B1D1A" w:rsidRDefault="00EA64EF">
      <w:pPr>
        <w:pStyle w:val="TOC4"/>
        <w:rPr>
          <w:rFonts w:eastAsiaTheme="minorEastAsia"/>
          <w:smallCaps w:val="0"/>
          <w:noProof/>
          <w:sz w:val="22"/>
        </w:rPr>
      </w:pPr>
      <w:hyperlink w:anchor="_Toc391645815" w:history="1">
        <w:r w:rsidR="002B1D1A" w:rsidRPr="006B6B23">
          <w:rPr>
            <w:rStyle w:val="Hyperlink"/>
            <w:noProof/>
          </w:rPr>
          <w:t>OneDrive para Business</w:t>
        </w:r>
        <w:r w:rsidR="002B1D1A">
          <w:rPr>
            <w:noProof/>
            <w:webHidden/>
          </w:rPr>
          <w:tab/>
        </w:r>
        <w:r w:rsidR="002B1D1A">
          <w:rPr>
            <w:noProof/>
            <w:webHidden/>
          </w:rPr>
          <w:fldChar w:fldCharType="begin"/>
        </w:r>
        <w:r w:rsidR="002B1D1A">
          <w:rPr>
            <w:noProof/>
            <w:webHidden/>
          </w:rPr>
          <w:instrText xml:space="preserve"> PAGEREF _Toc391645815 \h </w:instrText>
        </w:r>
        <w:r w:rsidR="002B1D1A">
          <w:rPr>
            <w:noProof/>
            <w:webHidden/>
          </w:rPr>
        </w:r>
        <w:r w:rsidR="002B1D1A">
          <w:rPr>
            <w:noProof/>
            <w:webHidden/>
          </w:rPr>
          <w:fldChar w:fldCharType="separate"/>
        </w:r>
        <w:r w:rsidR="004A3F49">
          <w:rPr>
            <w:noProof/>
            <w:webHidden/>
          </w:rPr>
          <w:t>19</w:t>
        </w:r>
        <w:r w:rsidR="002B1D1A">
          <w:rPr>
            <w:noProof/>
            <w:webHidden/>
          </w:rPr>
          <w:fldChar w:fldCharType="end"/>
        </w:r>
      </w:hyperlink>
    </w:p>
    <w:p w:rsidR="002B1D1A" w:rsidRDefault="00EA64EF">
      <w:pPr>
        <w:pStyle w:val="TOC4"/>
        <w:rPr>
          <w:rFonts w:eastAsiaTheme="minorEastAsia"/>
          <w:smallCaps w:val="0"/>
          <w:noProof/>
          <w:sz w:val="22"/>
        </w:rPr>
      </w:pPr>
      <w:hyperlink w:anchor="_Toc391645816" w:history="1">
        <w:r w:rsidR="002B1D1A" w:rsidRPr="006B6B23">
          <w:rPr>
            <w:rStyle w:val="Hyperlink"/>
            <w:noProof/>
          </w:rPr>
          <w:t>Project Online</w:t>
        </w:r>
        <w:r w:rsidR="002B1D1A">
          <w:rPr>
            <w:noProof/>
            <w:webHidden/>
          </w:rPr>
          <w:tab/>
        </w:r>
        <w:r w:rsidR="002B1D1A">
          <w:rPr>
            <w:noProof/>
            <w:webHidden/>
          </w:rPr>
          <w:fldChar w:fldCharType="begin"/>
        </w:r>
        <w:r w:rsidR="002B1D1A">
          <w:rPr>
            <w:noProof/>
            <w:webHidden/>
          </w:rPr>
          <w:instrText xml:space="preserve"> PAGEREF _Toc391645816 \h </w:instrText>
        </w:r>
        <w:r w:rsidR="002B1D1A">
          <w:rPr>
            <w:noProof/>
            <w:webHidden/>
          </w:rPr>
        </w:r>
        <w:r w:rsidR="002B1D1A">
          <w:rPr>
            <w:noProof/>
            <w:webHidden/>
          </w:rPr>
          <w:fldChar w:fldCharType="separate"/>
        </w:r>
        <w:r w:rsidR="004A3F49">
          <w:rPr>
            <w:noProof/>
            <w:webHidden/>
          </w:rPr>
          <w:t>19</w:t>
        </w:r>
        <w:r w:rsidR="002B1D1A">
          <w:rPr>
            <w:noProof/>
            <w:webHidden/>
          </w:rPr>
          <w:fldChar w:fldCharType="end"/>
        </w:r>
      </w:hyperlink>
    </w:p>
    <w:p w:rsidR="002B1D1A" w:rsidRDefault="00EA64EF">
      <w:pPr>
        <w:pStyle w:val="TOC4"/>
        <w:rPr>
          <w:rFonts w:eastAsiaTheme="minorEastAsia"/>
          <w:smallCaps w:val="0"/>
          <w:noProof/>
          <w:sz w:val="22"/>
        </w:rPr>
      </w:pPr>
      <w:hyperlink w:anchor="_Toc391645817" w:history="1">
        <w:r w:rsidR="002B1D1A" w:rsidRPr="006B6B23">
          <w:rPr>
            <w:rStyle w:val="Hyperlink"/>
            <w:noProof/>
          </w:rPr>
          <w:t>SharePoint Online</w:t>
        </w:r>
        <w:r w:rsidR="002B1D1A">
          <w:rPr>
            <w:noProof/>
            <w:webHidden/>
          </w:rPr>
          <w:tab/>
        </w:r>
        <w:r w:rsidR="002B1D1A">
          <w:rPr>
            <w:noProof/>
            <w:webHidden/>
          </w:rPr>
          <w:fldChar w:fldCharType="begin"/>
        </w:r>
        <w:r w:rsidR="002B1D1A">
          <w:rPr>
            <w:noProof/>
            <w:webHidden/>
          </w:rPr>
          <w:instrText xml:space="preserve"> PAGEREF _Toc391645817 \h </w:instrText>
        </w:r>
        <w:r w:rsidR="002B1D1A">
          <w:rPr>
            <w:noProof/>
            <w:webHidden/>
          </w:rPr>
        </w:r>
        <w:r w:rsidR="002B1D1A">
          <w:rPr>
            <w:noProof/>
            <w:webHidden/>
          </w:rPr>
          <w:fldChar w:fldCharType="separate"/>
        </w:r>
        <w:r w:rsidR="004A3F49">
          <w:rPr>
            <w:noProof/>
            <w:webHidden/>
          </w:rPr>
          <w:t>19</w:t>
        </w:r>
        <w:r w:rsidR="002B1D1A">
          <w:rPr>
            <w:noProof/>
            <w:webHidden/>
          </w:rPr>
          <w:fldChar w:fldCharType="end"/>
        </w:r>
      </w:hyperlink>
    </w:p>
    <w:p w:rsidR="002B1D1A" w:rsidRDefault="00EA64EF">
      <w:pPr>
        <w:pStyle w:val="TOC3"/>
        <w:tabs>
          <w:tab w:val="right" w:leader="dot" w:pos="5030"/>
        </w:tabs>
        <w:rPr>
          <w:rFonts w:eastAsiaTheme="minorEastAsia"/>
          <w:smallCaps w:val="0"/>
          <w:noProof/>
          <w:sz w:val="22"/>
        </w:rPr>
      </w:pPr>
      <w:hyperlink w:anchor="_Toc391645818" w:history="1">
        <w:r w:rsidR="002B1D1A" w:rsidRPr="006B6B23">
          <w:rPr>
            <w:rStyle w:val="Hyperlink"/>
            <w:noProof/>
          </w:rPr>
          <w:t>Windows Intune</w:t>
        </w:r>
        <w:r w:rsidR="002B1D1A">
          <w:rPr>
            <w:noProof/>
            <w:webHidden/>
          </w:rPr>
          <w:tab/>
        </w:r>
        <w:r w:rsidR="002B1D1A">
          <w:rPr>
            <w:noProof/>
            <w:webHidden/>
          </w:rPr>
          <w:fldChar w:fldCharType="begin"/>
        </w:r>
        <w:r w:rsidR="002B1D1A">
          <w:rPr>
            <w:noProof/>
            <w:webHidden/>
          </w:rPr>
          <w:instrText xml:space="preserve"> PAGEREF _Toc391645818 \h </w:instrText>
        </w:r>
        <w:r w:rsidR="002B1D1A">
          <w:rPr>
            <w:noProof/>
            <w:webHidden/>
          </w:rPr>
        </w:r>
        <w:r w:rsidR="002B1D1A">
          <w:rPr>
            <w:noProof/>
            <w:webHidden/>
          </w:rPr>
          <w:fldChar w:fldCharType="separate"/>
        </w:r>
        <w:r w:rsidR="004A3F49">
          <w:rPr>
            <w:noProof/>
            <w:webHidden/>
          </w:rPr>
          <w:t>19</w:t>
        </w:r>
        <w:r w:rsidR="002B1D1A">
          <w:rPr>
            <w:noProof/>
            <w:webHidden/>
          </w:rPr>
          <w:fldChar w:fldCharType="end"/>
        </w:r>
      </w:hyperlink>
    </w:p>
    <w:p w:rsidR="002B1D1A" w:rsidRDefault="00EA64EF">
      <w:pPr>
        <w:pStyle w:val="TOC2"/>
        <w:tabs>
          <w:tab w:val="right" w:leader="dot" w:pos="5030"/>
        </w:tabs>
        <w:rPr>
          <w:rFonts w:eastAsiaTheme="minorEastAsia"/>
          <w:b w:val="0"/>
          <w:smallCaps w:val="0"/>
          <w:noProof/>
          <w:sz w:val="22"/>
        </w:rPr>
      </w:pPr>
      <w:hyperlink w:anchor="_Toc391645819" w:history="1">
        <w:r w:rsidR="002B1D1A" w:rsidRPr="006B6B23">
          <w:rPr>
            <w:rStyle w:val="Hyperlink"/>
            <w:noProof/>
          </w:rPr>
          <w:t>Outros Serviços Online</w:t>
        </w:r>
        <w:r w:rsidR="002B1D1A">
          <w:rPr>
            <w:noProof/>
            <w:webHidden/>
          </w:rPr>
          <w:tab/>
        </w:r>
        <w:r w:rsidR="002B1D1A">
          <w:rPr>
            <w:noProof/>
            <w:webHidden/>
          </w:rPr>
          <w:fldChar w:fldCharType="begin"/>
        </w:r>
        <w:r w:rsidR="002B1D1A">
          <w:rPr>
            <w:noProof/>
            <w:webHidden/>
          </w:rPr>
          <w:instrText xml:space="preserve"> PAGEREF _Toc391645819 \h </w:instrText>
        </w:r>
        <w:r w:rsidR="002B1D1A">
          <w:rPr>
            <w:noProof/>
            <w:webHidden/>
          </w:rPr>
        </w:r>
        <w:r w:rsidR="002B1D1A">
          <w:rPr>
            <w:noProof/>
            <w:webHidden/>
          </w:rPr>
          <w:fldChar w:fldCharType="separate"/>
        </w:r>
        <w:r w:rsidR="004A3F49">
          <w:rPr>
            <w:noProof/>
            <w:webHidden/>
          </w:rPr>
          <w:t>22</w:t>
        </w:r>
        <w:r w:rsidR="002B1D1A">
          <w:rPr>
            <w:noProof/>
            <w:webHidden/>
          </w:rPr>
          <w:fldChar w:fldCharType="end"/>
        </w:r>
      </w:hyperlink>
    </w:p>
    <w:p w:rsidR="002B1D1A" w:rsidRDefault="00EA64EF">
      <w:pPr>
        <w:pStyle w:val="TOC4"/>
        <w:rPr>
          <w:rFonts w:eastAsiaTheme="minorEastAsia"/>
          <w:smallCaps w:val="0"/>
          <w:noProof/>
          <w:sz w:val="22"/>
        </w:rPr>
      </w:pPr>
      <w:hyperlink w:anchor="_Toc391645820" w:history="1">
        <w:r w:rsidR="002B1D1A" w:rsidRPr="006B6B23">
          <w:rPr>
            <w:rStyle w:val="Hyperlink"/>
            <w:noProof/>
          </w:rPr>
          <w:t xml:space="preserve">Bing Maps Enterprise Platform e Bing Maps Mobile Asset </w:t>
        </w:r>
        <w:r w:rsidR="002B1D1A">
          <w:rPr>
            <w:rStyle w:val="Hyperlink"/>
            <w:noProof/>
          </w:rPr>
          <w:br/>
        </w:r>
        <w:r w:rsidR="002B1D1A" w:rsidRPr="006B6B23">
          <w:rPr>
            <w:rStyle w:val="Hyperlink"/>
            <w:noProof/>
          </w:rPr>
          <w:t>Management Platform</w:t>
        </w:r>
        <w:r w:rsidR="002B1D1A">
          <w:rPr>
            <w:noProof/>
            <w:webHidden/>
          </w:rPr>
          <w:tab/>
        </w:r>
        <w:r w:rsidR="002B1D1A">
          <w:rPr>
            <w:noProof/>
            <w:webHidden/>
          </w:rPr>
          <w:fldChar w:fldCharType="begin"/>
        </w:r>
        <w:r w:rsidR="002B1D1A">
          <w:rPr>
            <w:noProof/>
            <w:webHidden/>
          </w:rPr>
          <w:instrText xml:space="preserve"> PAGEREF _Toc391645820 \h </w:instrText>
        </w:r>
        <w:r w:rsidR="002B1D1A">
          <w:rPr>
            <w:noProof/>
            <w:webHidden/>
          </w:rPr>
        </w:r>
        <w:r w:rsidR="002B1D1A">
          <w:rPr>
            <w:noProof/>
            <w:webHidden/>
          </w:rPr>
          <w:fldChar w:fldCharType="separate"/>
        </w:r>
        <w:r w:rsidR="004A3F49">
          <w:rPr>
            <w:noProof/>
            <w:webHidden/>
          </w:rPr>
          <w:t>22</w:t>
        </w:r>
        <w:r w:rsidR="002B1D1A">
          <w:rPr>
            <w:noProof/>
            <w:webHidden/>
          </w:rPr>
          <w:fldChar w:fldCharType="end"/>
        </w:r>
      </w:hyperlink>
    </w:p>
    <w:p w:rsidR="002B1D1A" w:rsidRDefault="00EA64EF">
      <w:pPr>
        <w:pStyle w:val="TOC4"/>
        <w:rPr>
          <w:rFonts w:eastAsiaTheme="minorEastAsia"/>
          <w:smallCaps w:val="0"/>
          <w:noProof/>
          <w:sz w:val="22"/>
        </w:rPr>
      </w:pPr>
      <w:hyperlink w:anchor="_Toc391645821" w:history="1">
        <w:r w:rsidR="002B1D1A" w:rsidRPr="006B6B23">
          <w:rPr>
            <w:rStyle w:val="Hyperlink"/>
            <w:noProof/>
          </w:rPr>
          <w:t>Microsoft Azure Directory Premium</w:t>
        </w:r>
        <w:r w:rsidR="002B1D1A">
          <w:rPr>
            <w:noProof/>
            <w:webHidden/>
          </w:rPr>
          <w:tab/>
        </w:r>
        <w:r w:rsidR="002B1D1A">
          <w:rPr>
            <w:noProof/>
            <w:webHidden/>
          </w:rPr>
          <w:fldChar w:fldCharType="begin"/>
        </w:r>
        <w:r w:rsidR="002B1D1A">
          <w:rPr>
            <w:noProof/>
            <w:webHidden/>
          </w:rPr>
          <w:instrText xml:space="preserve"> PAGEREF _Toc391645821 \h </w:instrText>
        </w:r>
        <w:r w:rsidR="002B1D1A">
          <w:rPr>
            <w:noProof/>
            <w:webHidden/>
          </w:rPr>
        </w:r>
        <w:r w:rsidR="002B1D1A">
          <w:rPr>
            <w:noProof/>
            <w:webHidden/>
          </w:rPr>
          <w:fldChar w:fldCharType="separate"/>
        </w:r>
        <w:r w:rsidR="004A3F49">
          <w:rPr>
            <w:noProof/>
            <w:webHidden/>
          </w:rPr>
          <w:t>22</w:t>
        </w:r>
        <w:r w:rsidR="002B1D1A">
          <w:rPr>
            <w:noProof/>
            <w:webHidden/>
          </w:rPr>
          <w:fldChar w:fldCharType="end"/>
        </w:r>
      </w:hyperlink>
    </w:p>
    <w:p w:rsidR="002B1D1A" w:rsidRDefault="00EA64EF">
      <w:pPr>
        <w:pStyle w:val="TOC4"/>
        <w:rPr>
          <w:rFonts w:eastAsiaTheme="minorEastAsia"/>
          <w:smallCaps w:val="0"/>
          <w:noProof/>
          <w:sz w:val="22"/>
        </w:rPr>
      </w:pPr>
      <w:hyperlink w:anchor="_Toc391645822" w:history="1">
        <w:r w:rsidR="002B1D1A" w:rsidRPr="006B6B23">
          <w:rPr>
            <w:rStyle w:val="Hyperlink"/>
            <w:noProof/>
          </w:rPr>
          <w:t>Microsoft Learning E-Reference Library</w:t>
        </w:r>
        <w:r w:rsidR="002B1D1A">
          <w:rPr>
            <w:noProof/>
            <w:webHidden/>
          </w:rPr>
          <w:tab/>
        </w:r>
        <w:r w:rsidR="002B1D1A">
          <w:rPr>
            <w:noProof/>
            <w:webHidden/>
          </w:rPr>
          <w:fldChar w:fldCharType="begin"/>
        </w:r>
        <w:r w:rsidR="002B1D1A">
          <w:rPr>
            <w:noProof/>
            <w:webHidden/>
          </w:rPr>
          <w:instrText xml:space="preserve"> PAGEREF _Toc391645822 \h </w:instrText>
        </w:r>
        <w:r w:rsidR="002B1D1A">
          <w:rPr>
            <w:noProof/>
            <w:webHidden/>
          </w:rPr>
        </w:r>
        <w:r w:rsidR="002B1D1A">
          <w:rPr>
            <w:noProof/>
            <w:webHidden/>
          </w:rPr>
          <w:fldChar w:fldCharType="separate"/>
        </w:r>
        <w:r w:rsidR="004A3F49">
          <w:rPr>
            <w:noProof/>
            <w:webHidden/>
          </w:rPr>
          <w:t>22</w:t>
        </w:r>
        <w:r w:rsidR="002B1D1A">
          <w:rPr>
            <w:noProof/>
            <w:webHidden/>
          </w:rPr>
          <w:fldChar w:fldCharType="end"/>
        </w:r>
      </w:hyperlink>
    </w:p>
    <w:p w:rsidR="002B1D1A" w:rsidRDefault="00EA64EF">
      <w:pPr>
        <w:pStyle w:val="TOC4"/>
        <w:rPr>
          <w:rFonts w:eastAsiaTheme="minorEastAsia"/>
          <w:smallCaps w:val="0"/>
          <w:noProof/>
          <w:sz w:val="22"/>
        </w:rPr>
      </w:pPr>
      <w:hyperlink w:anchor="_Toc391645823" w:history="1">
        <w:r w:rsidR="002B1D1A" w:rsidRPr="006B6B23">
          <w:rPr>
            <w:rStyle w:val="Hyperlink"/>
            <w:noProof/>
          </w:rPr>
          <w:t>Microsoft Learning IT Academy</w:t>
        </w:r>
        <w:r w:rsidR="002B1D1A">
          <w:rPr>
            <w:noProof/>
            <w:webHidden/>
          </w:rPr>
          <w:tab/>
        </w:r>
        <w:r w:rsidR="002B1D1A">
          <w:rPr>
            <w:noProof/>
            <w:webHidden/>
          </w:rPr>
          <w:fldChar w:fldCharType="begin"/>
        </w:r>
        <w:r w:rsidR="002B1D1A">
          <w:rPr>
            <w:noProof/>
            <w:webHidden/>
          </w:rPr>
          <w:instrText xml:space="preserve"> PAGEREF _Toc391645823 \h </w:instrText>
        </w:r>
        <w:r w:rsidR="002B1D1A">
          <w:rPr>
            <w:noProof/>
            <w:webHidden/>
          </w:rPr>
        </w:r>
        <w:r w:rsidR="002B1D1A">
          <w:rPr>
            <w:noProof/>
            <w:webHidden/>
          </w:rPr>
          <w:fldChar w:fldCharType="separate"/>
        </w:r>
        <w:r w:rsidR="004A3F49">
          <w:rPr>
            <w:noProof/>
            <w:webHidden/>
          </w:rPr>
          <w:t>23</w:t>
        </w:r>
        <w:r w:rsidR="002B1D1A">
          <w:rPr>
            <w:noProof/>
            <w:webHidden/>
          </w:rPr>
          <w:fldChar w:fldCharType="end"/>
        </w:r>
      </w:hyperlink>
    </w:p>
    <w:p w:rsidR="002B1D1A" w:rsidRDefault="00EA64EF">
      <w:pPr>
        <w:pStyle w:val="TOC4"/>
        <w:rPr>
          <w:rFonts w:eastAsiaTheme="minorEastAsia"/>
          <w:smallCaps w:val="0"/>
          <w:noProof/>
          <w:sz w:val="22"/>
        </w:rPr>
      </w:pPr>
      <w:hyperlink w:anchor="_Toc391645824" w:history="1">
        <w:r w:rsidR="002B1D1A" w:rsidRPr="006B6B23">
          <w:rPr>
            <w:rStyle w:val="Hyperlink"/>
            <w:noProof/>
          </w:rPr>
          <w:t>Microsoft Rights Management</w:t>
        </w:r>
        <w:r w:rsidR="002B1D1A">
          <w:rPr>
            <w:noProof/>
            <w:webHidden/>
          </w:rPr>
          <w:tab/>
        </w:r>
        <w:r w:rsidR="002B1D1A">
          <w:rPr>
            <w:noProof/>
            <w:webHidden/>
          </w:rPr>
          <w:fldChar w:fldCharType="begin"/>
        </w:r>
        <w:r w:rsidR="002B1D1A">
          <w:rPr>
            <w:noProof/>
            <w:webHidden/>
          </w:rPr>
          <w:instrText xml:space="preserve"> PAGEREF _Toc391645824 \h </w:instrText>
        </w:r>
        <w:r w:rsidR="002B1D1A">
          <w:rPr>
            <w:noProof/>
            <w:webHidden/>
          </w:rPr>
        </w:r>
        <w:r w:rsidR="002B1D1A">
          <w:rPr>
            <w:noProof/>
            <w:webHidden/>
          </w:rPr>
          <w:fldChar w:fldCharType="separate"/>
        </w:r>
        <w:r w:rsidR="004A3F49">
          <w:rPr>
            <w:noProof/>
            <w:webHidden/>
          </w:rPr>
          <w:t>23</w:t>
        </w:r>
        <w:r w:rsidR="002B1D1A">
          <w:rPr>
            <w:noProof/>
            <w:webHidden/>
          </w:rPr>
          <w:fldChar w:fldCharType="end"/>
        </w:r>
      </w:hyperlink>
    </w:p>
    <w:p w:rsidR="002B1D1A" w:rsidRDefault="00EA64EF">
      <w:pPr>
        <w:pStyle w:val="TOC4"/>
        <w:rPr>
          <w:rFonts w:eastAsiaTheme="minorEastAsia"/>
          <w:smallCaps w:val="0"/>
          <w:noProof/>
          <w:sz w:val="22"/>
        </w:rPr>
      </w:pPr>
      <w:hyperlink w:anchor="_Toc391645825" w:history="1">
        <w:r w:rsidR="002B1D1A" w:rsidRPr="006B6B23">
          <w:rPr>
            <w:rStyle w:val="Hyperlink"/>
            <w:noProof/>
          </w:rPr>
          <w:t>Office 365 Developer</w:t>
        </w:r>
        <w:r w:rsidR="002B1D1A">
          <w:rPr>
            <w:noProof/>
            <w:webHidden/>
          </w:rPr>
          <w:tab/>
        </w:r>
        <w:r w:rsidR="002B1D1A">
          <w:rPr>
            <w:noProof/>
            <w:webHidden/>
          </w:rPr>
          <w:fldChar w:fldCharType="begin"/>
        </w:r>
        <w:r w:rsidR="002B1D1A">
          <w:rPr>
            <w:noProof/>
            <w:webHidden/>
          </w:rPr>
          <w:instrText xml:space="preserve"> PAGEREF _Toc391645825 \h </w:instrText>
        </w:r>
        <w:r w:rsidR="002B1D1A">
          <w:rPr>
            <w:noProof/>
            <w:webHidden/>
          </w:rPr>
        </w:r>
        <w:r w:rsidR="002B1D1A">
          <w:rPr>
            <w:noProof/>
            <w:webHidden/>
          </w:rPr>
          <w:fldChar w:fldCharType="separate"/>
        </w:r>
        <w:r w:rsidR="004A3F49">
          <w:rPr>
            <w:noProof/>
            <w:webHidden/>
          </w:rPr>
          <w:t>23</w:t>
        </w:r>
        <w:r w:rsidR="002B1D1A">
          <w:rPr>
            <w:noProof/>
            <w:webHidden/>
          </w:rPr>
          <w:fldChar w:fldCharType="end"/>
        </w:r>
      </w:hyperlink>
    </w:p>
    <w:p w:rsidR="002B1D1A" w:rsidRDefault="00EA64EF">
      <w:pPr>
        <w:pStyle w:val="TOC4"/>
        <w:rPr>
          <w:rFonts w:eastAsiaTheme="minorEastAsia"/>
          <w:smallCaps w:val="0"/>
          <w:noProof/>
          <w:sz w:val="22"/>
        </w:rPr>
      </w:pPr>
      <w:hyperlink w:anchor="_Toc391645826" w:history="1">
        <w:r w:rsidR="002B1D1A" w:rsidRPr="006B6B23">
          <w:rPr>
            <w:rStyle w:val="Hyperlink"/>
            <w:noProof/>
          </w:rPr>
          <w:t>Power BI para Office 365</w:t>
        </w:r>
        <w:r w:rsidR="002B1D1A">
          <w:rPr>
            <w:noProof/>
            <w:webHidden/>
          </w:rPr>
          <w:tab/>
        </w:r>
        <w:r w:rsidR="002B1D1A">
          <w:rPr>
            <w:noProof/>
            <w:webHidden/>
          </w:rPr>
          <w:fldChar w:fldCharType="begin"/>
        </w:r>
        <w:r w:rsidR="002B1D1A">
          <w:rPr>
            <w:noProof/>
            <w:webHidden/>
          </w:rPr>
          <w:instrText xml:space="preserve"> PAGEREF _Toc391645826 \h </w:instrText>
        </w:r>
        <w:r w:rsidR="002B1D1A">
          <w:rPr>
            <w:noProof/>
            <w:webHidden/>
          </w:rPr>
        </w:r>
        <w:r w:rsidR="002B1D1A">
          <w:rPr>
            <w:noProof/>
            <w:webHidden/>
          </w:rPr>
          <w:fldChar w:fldCharType="separate"/>
        </w:r>
        <w:r w:rsidR="004A3F49">
          <w:rPr>
            <w:noProof/>
            <w:webHidden/>
          </w:rPr>
          <w:t>23</w:t>
        </w:r>
        <w:r w:rsidR="002B1D1A">
          <w:rPr>
            <w:noProof/>
            <w:webHidden/>
          </w:rPr>
          <w:fldChar w:fldCharType="end"/>
        </w:r>
      </w:hyperlink>
    </w:p>
    <w:p w:rsidR="002B1D1A" w:rsidRDefault="00EA64EF">
      <w:pPr>
        <w:pStyle w:val="TOC4"/>
        <w:rPr>
          <w:rFonts w:eastAsiaTheme="minorEastAsia"/>
          <w:smallCaps w:val="0"/>
          <w:noProof/>
          <w:sz w:val="22"/>
        </w:rPr>
      </w:pPr>
      <w:hyperlink w:anchor="_Toc391645827" w:history="1">
        <w:r w:rsidR="002B1D1A" w:rsidRPr="006B6B23">
          <w:rPr>
            <w:rStyle w:val="Hyperlink"/>
            <w:noProof/>
          </w:rPr>
          <w:t>System Center Endpoint Protection</w:t>
        </w:r>
        <w:r w:rsidR="002B1D1A">
          <w:rPr>
            <w:noProof/>
            <w:webHidden/>
          </w:rPr>
          <w:tab/>
        </w:r>
        <w:r w:rsidR="002B1D1A">
          <w:rPr>
            <w:noProof/>
            <w:webHidden/>
          </w:rPr>
          <w:fldChar w:fldCharType="begin"/>
        </w:r>
        <w:r w:rsidR="002B1D1A">
          <w:rPr>
            <w:noProof/>
            <w:webHidden/>
          </w:rPr>
          <w:instrText xml:space="preserve"> PAGEREF _Toc391645827 \h </w:instrText>
        </w:r>
        <w:r w:rsidR="002B1D1A">
          <w:rPr>
            <w:noProof/>
            <w:webHidden/>
          </w:rPr>
        </w:r>
        <w:r w:rsidR="002B1D1A">
          <w:rPr>
            <w:noProof/>
            <w:webHidden/>
          </w:rPr>
          <w:fldChar w:fldCharType="separate"/>
        </w:r>
        <w:r w:rsidR="004A3F49">
          <w:rPr>
            <w:noProof/>
            <w:webHidden/>
          </w:rPr>
          <w:t>23</w:t>
        </w:r>
        <w:r w:rsidR="002B1D1A">
          <w:rPr>
            <w:noProof/>
            <w:webHidden/>
          </w:rPr>
          <w:fldChar w:fldCharType="end"/>
        </w:r>
      </w:hyperlink>
    </w:p>
    <w:p w:rsidR="002B1D1A" w:rsidRDefault="00EA64EF">
      <w:pPr>
        <w:pStyle w:val="TOC4"/>
        <w:rPr>
          <w:rFonts w:eastAsiaTheme="minorEastAsia"/>
          <w:smallCaps w:val="0"/>
          <w:noProof/>
          <w:sz w:val="22"/>
        </w:rPr>
      </w:pPr>
      <w:hyperlink w:anchor="_Toc391645828" w:history="1">
        <w:r w:rsidR="002B1D1A" w:rsidRPr="006B6B23">
          <w:rPr>
            <w:rStyle w:val="Hyperlink"/>
            <w:noProof/>
          </w:rPr>
          <w:t>Translator API</w:t>
        </w:r>
        <w:r w:rsidR="002B1D1A">
          <w:rPr>
            <w:noProof/>
            <w:webHidden/>
          </w:rPr>
          <w:tab/>
        </w:r>
        <w:r w:rsidR="002B1D1A">
          <w:rPr>
            <w:noProof/>
            <w:webHidden/>
          </w:rPr>
          <w:fldChar w:fldCharType="begin"/>
        </w:r>
        <w:r w:rsidR="002B1D1A">
          <w:rPr>
            <w:noProof/>
            <w:webHidden/>
          </w:rPr>
          <w:instrText xml:space="preserve"> PAGEREF _Toc391645828 \h </w:instrText>
        </w:r>
        <w:r w:rsidR="002B1D1A">
          <w:rPr>
            <w:noProof/>
            <w:webHidden/>
          </w:rPr>
        </w:r>
        <w:r w:rsidR="002B1D1A">
          <w:rPr>
            <w:noProof/>
            <w:webHidden/>
          </w:rPr>
          <w:fldChar w:fldCharType="separate"/>
        </w:r>
        <w:r w:rsidR="004A3F49">
          <w:rPr>
            <w:noProof/>
            <w:webHidden/>
          </w:rPr>
          <w:t>24</w:t>
        </w:r>
        <w:r w:rsidR="002B1D1A">
          <w:rPr>
            <w:noProof/>
            <w:webHidden/>
          </w:rPr>
          <w:fldChar w:fldCharType="end"/>
        </w:r>
      </w:hyperlink>
    </w:p>
    <w:p w:rsidR="002B1D1A" w:rsidRDefault="00EA64EF">
      <w:pPr>
        <w:pStyle w:val="TOC4"/>
        <w:rPr>
          <w:rFonts w:eastAsiaTheme="minorEastAsia"/>
          <w:smallCaps w:val="0"/>
          <w:noProof/>
          <w:sz w:val="22"/>
        </w:rPr>
      </w:pPr>
      <w:hyperlink w:anchor="_Toc391645829" w:history="1">
        <w:r w:rsidR="002B1D1A" w:rsidRPr="006B6B23">
          <w:rPr>
            <w:rStyle w:val="Hyperlink"/>
            <w:noProof/>
          </w:rPr>
          <w:t>Yammer Enterprise</w:t>
        </w:r>
        <w:r w:rsidR="002B1D1A">
          <w:rPr>
            <w:noProof/>
            <w:webHidden/>
          </w:rPr>
          <w:tab/>
        </w:r>
        <w:r w:rsidR="002B1D1A">
          <w:rPr>
            <w:noProof/>
            <w:webHidden/>
          </w:rPr>
          <w:fldChar w:fldCharType="begin"/>
        </w:r>
        <w:r w:rsidR="002B1D1A">
          <w:rPr>
            <w:noProof/>
            <w:webHidden/>
          </w:rPr>
          <w:instrText xml:space="preserve"> PAGEREF _Toc391645829 \h </w:instrText>
        </w:r>
        <w:r w:rsidR="002B1D1A">
          <w:rPr>
            <w:noProof/>
            <w:webHidden/>
          </w:rPr>
        </w:r>
        <w:r w:rsidR="002B1D1A">
          <w:rPr>
            <w:noProof/>
            <w:webHidden/>
          </w:rPr>
          <w:fldChar w:fldCharType="separate"/>
        </w:r>
        <w:r w:rsidR="004A3F49">
          <w:rPr>
            <w:noProof/>
            <w:webHidden/>
          </w:rPr>
          <w:t>24</w:t>
        </w:r>
        <w:r w:rsidR="002B1D1A">
          <w:rPr>
            <w:noProof/>
            <w:webHidden/>
          </w:rPr>
          <w:fldChar w:fldCharType="end"/>
        </w:r>
      </w:hyperlink>
    </w:p>
    <w:p w:rsidR="002B1D1A" w:rsidRDefault="00EA64EF">
      <w:pPr>
        <w:pStyle w:val="TOC1"/>
        <w:tabs>
          <w:tab w:val="right" w:leader="dot" w:pos="5030"/>
        </w:tabs>
        <w:rPr>
          <w:rFonts w:eastAsiaTheme="minorEastAsia"/>
          <w:b w:val="0"/>
          <w:caps w:val="0"/>
          <w:noProof/>
          <w:sz w:val="22"/>
        </w:rPr>
      </w:pPr>
      <w:hyperlink w:anchor="_Toc391645830" w:history="1">
        <w:r w:rsidR="002B1D1A" w:rsidRPr="006B6B23">
          <w:rPr>
            <w:rStyle w:val="Hyperlink"/>
            <w:noProof/>
          </w:rPr>
          <w:t>Anexo 1 – Notificações</w:t>
        </w:r>
        <w:r w:rsidR="002B1D1A">
          <w:rPr>
            <w:noProof/>
            <w:webHidden/>
          </w:rPr>
          <w:tab/>
        </w:r>
        <w:r w:rsidR="002B1D1A">
          <w:rPr>
            <w:noProof/>
            <w:webHidden/>
          </w:rPr>
          <w:fldChar w:fldCharType="begin"/>
        </w:r>
        <w:r w:rsidR="002B1D1A">
          <w:rPr>
            <w:noProof/>
            <w:webHidden/>
          </w:rPr>
          <w:instrText xml:space="preserve"> PAGEREF _Toc391645830 \h </w:instrText>
        </w:r>
        <w:r w:rsidR="002B1D1A">
          <w:rPr>
            <w:noProof/>
            <w:webHidden/>
          </w:rPr>
        </w:r>
        <w:r w:rsidR="002B1D1A">
          <w:rPr>
            <w:noProof/>
            <w:webHidden/>
          </w:rPr>
          <w:fldChar w:fldCharType="separate"/>
        </w:r>
        <w:r w:rsidR="004A3F49">
          <w:rPr>
            <w:noProof/>
            <w:webHidden/>
          </w:rPr>
          <w:t>25</w:t>
        </w:r>
        <w:r w:rsidR="002B1D1A">
          <w:rPr>
            <w:noProof/>
            <w:webHidden/>
          </w:rPr>
          <w:fldChar w:fldCharType="end"/>
        </w:r>
      </w:hyperlink>
    </w:p>
    <w:p w:rsidR="002B1D1A" w:rsidRDefault="00EA64EF">
      <w:pPr>
        <w:pStyle w:val="TOC3"/>
        <w:tabs>
          <w:tab w:val="right" w:leader="dot" w:pos="5030"/>
        </w:tabs>
        <w:rPr>
          <w:rFonts w:eastAsiaTheme="minorEastAsia"/>
          <w:smallCaps w:val="0"/>
          <w:noProof/>
          <w:sz w:val="22"/>
        </w:rPr>
      </w:pPr>
      <w:hyperlink w:anchor="_Toc391645831" w:history="1">
        <w:r w:rsidR="002B1D1A" w:rsidRPr="006B6B23">
          <w:rPr>
            <w:rStyle w:val="Hyperlink"/>
            <w:noProof/>
          </w:rPr>
          <w:t>Bing Maps</w:t>
        </w:r>
        <w:r w:rsidR="002B1D1A">
          <w:rPr>
            <w:noProof/>
            <w:webHidden/>
          </w:rPr>
          <w:tab/>
        </w:r>
        <w:r w:rsidR="002B1D1A">
          <w:rPr>
            <w:noProof/>
            <w:webHidden/>
          </w:rPr>
          <w:fldChar w:fldCharType="begin"/>
        </w:r>
        <w:r w:rsidR="002B1D1A">
          <w:rPr>
            <w:noProof/>
            <w:webHidden/>
          </w:rPr>
          <w:instrText xml:space="preserve"> PAGEREF _Toc391645831 \h </w:instrText>
        </w:r>
        <w:r w:rsidR="002B1D1A">
          <w:rPr>
            <w:noProof/>
            <w:webHidden/>
          </w:rPr>
        </w:r>
        <w:r w:rsidR="002B1D1A">
          <w:rPr>
            <w:noProof/>
            <w:webHidden/>
          </w:rPr>
          <w:fldChar w:fldCharType="separate"/>
        </w:r>
        <w:r w:rsidR="004A3F49">
          <w:rPr>
            <w:noProof/>
            <w:webHidden/>
          </w:rPr>
          <w:t>25</w:t>
        </w:r>
        <w:r w:rsidR="002B1D1A">
          <w:rPr>
            <w:noProof/>
            <w:webHidden/>
          </w:rPr>
          <w:fldChar w:fldCharType="end"/>
        </w:r>
      </w:hyperlink>
    </w:p>
    <w:p w:rsidR="002B1D1A" w:rsidRDefault="00EA64EF">
      <w:pPr>
        <w:pStyle w:val="TOC3"/>
        <w:tabs>
          <w:tab w:val="right" w:leader="dot" w:pos="5030"/>
        </w:tabs>
        <w:rPr>
          <w:rFonts w:eastAsiaTheme="minorEastAsia"/>
          <w:smallCaps w:val="0"/>
          <w:noProof/>
          <w:sz w:val="22"/>
        </w:rPr>
      </w:pPr>
      <w:hyperlink w:anchor="_Toc391645832" w:history="1">
        <w:r w:rsidR="002B1D1A" w:rsidRPr="006B6B23">
          <w:rPr>
            <w:rStyle w:val="Hyperlink"/>
            <w:noProof/>
          </w:rPr>
          <w:t>Suporte ao Cliente</w:t>
        </w:r>
        <w:r w:rsidR="002B1D1A">
          <w:rPr>
            <w:noProof/>
            <w:webHidden/>
          </w:rPr>
          <w:tab/>
        </w:r>
        <w:r w:rsidR="002B1D1A">
          <w:rPr>
            <w:noProof/>
            <w:webHidden/>
          </w:rPr>
          <w:fldChar w:fldCharType="begin"/>
        </w:r>
        <w:r w:rsidR="002B1D1A">
          <w:rPr>
            <w:noProof/>
            <w:webHidden/>
          </w:rPr>
          <w:instrText xml:space="preserve"> PAGEREF _Toc391645832 \h </w:instrText>
        </w:r>
        <w:r w:rsidR="002B1D1A">
          <w:rPr>
            <w:noProof/>
            <w:webHidden/>
          </w:rPr>
        </w:r>
        <w:r w:rsidR="002B1D1A">
          <w:rPr>
            <w:noProof/>
            <w:webHidden/>
          </w:rPr>
          <w:fldChar w:fldCharType="separate"/>
        </w:r>
        <w:r w:rsidR="004A3F49">
          <w:rPr>
            <w:noProof/>
            <w:webHidden/>
          </w:rPr>
          <w:t>25</w:t>
        </w:r>
        <w:r w:rsidR="002B1D1A">
          <w:rPr>
            <w:noProof/>
            <w:webHidden/>
          </w:rPr>
          <w:fldChar w:fldCharType="end"/>
        </w:r>
      </w:hyperlink>
    </w:p>
    <w:p w:rsidR="002B1D1A" w:rsidRDefault="00EA64EF">
      <w:pPr>
        <w:pStyle w:val="TOC3"/>
        <w:tabs>
          <w:tab w:val="right" w:leader="dot" w:pos="5030"/>
        </w:tabs>
        <w:rPr>
          <w:rFonts w:eastAsiaTheme="minorEastAsia"/>
          <w:smallCaps w:val="0"/>
          <w:noProof/>
          <w:sz w:val="22"/>
        </w:rPr>
      </w:pPr>
      <w:hyperlink w:anchor="_Toc391645833" w:history="1">
        <w:r w:rsidR="002B1D1A" w:rsidRPr="006B6B23">
          <w:rPr>
            <w:rStyle w:val="Hyperlink"/>
            <w:noProof/>
          </w:rPr>
          <w:t xml:space="preserve">Notificação sobre o Padrão Visual H.264/AVC, o Padrão </w:t>
        </w:r>
        <w:r w:rsidR="002B1D1A">
          <w:rPr>
            <w:rStyle w:val="Hyperlink"/>
            <w:noProof/>
          </w:rPr>
          <w:br/>
        </w:r>
        <w:r w:rsidR="002B1D1A" w:rsidRPr="006B6B23">
          <w:rPr>
            <w:rStyle w:val="Hyperlink"/>
            <w:noProof/>
          </w:rPr>
          <w:t xml:space="preserve">de Vídeo VC-1, o Padrão Visual MPEG-4 Parte 2 e o Padrão </w:t>
        </w:r>
        <w:r w:rsidR="002B1D1A">
          <w:rPr>
            <w:rStyle w:val="Hyperlink"/>
            <w:noProof/>
          </w:rPr>
          <w:br/>
        </w:r>
        <w:r w:rsidR="002B1D1A" w:rsidRPr="006B6B23">
          <w:rPr>
            <w:rStyle w:val="Hyperlink"/>
            <w:noProof/>
          </w:rPr>
          <w:t>de Vídeo MPEG-2</w:t>
        </w:r>
        <w:r w:rsidR="002B1D1A">
          <w:rPr>
            <w:noProof/>
            <w:webHidden/>
          </w:rPr>
          <w:tab/>
        </w:r>
        <w:r w:rsidR="002B1D1A">
          <w:rPr>
            <w:noProof/>
            <w:webHidden/>
          </w:rPr>
          <w:fldChar w:fldCharType="begin"/>
        </w:r>
        <w:r w:rsidR="002B1D1A">
          <w:rPr>
            <w:noProof/>
            <w:webHidden/>
          </w:rPr>
          <w:instrText xml:space="preserve"> PAGEREF _Toc391645833 \h </w:instrText>
        </w:r>
        <w:r w:rsidR="002B1D1A">
          <w:rPr>
            <w:noProof/>
            <w:webHidden/>
          </w:rPr>
        </w:r>
        <w:r w:rsidR="002B1D1A">
          <w:rPr>
            <w:noProof/>
            <w:webHidden/>
          </w:rPr>
          <w:fldChar w:fldCharType="separate"/>
        </w:r>
        <w:r w:rsidR="004A3F49">
          <w:rPr>
            <w:noProof/>
            <w:webHidden/>
          </w:rPr>
          <w:t>26</w:t>
        </w:r>
        <w:r w:rsidR="002B1D1A">
          <w:rPr>
            <w:noProof/>
            <w:webHidden/>
          </w:rPr>
          <w:fldChar w:fldCharType="end"/>
        </w:r>
      </w:hyperlink>
    </w:p>
    <w:p w:rsidR="002B1D1A" w:rsidRDefault="00EA64EF">
      <w:pPr>
        <w:pStyle w:val="TOC1"/>
        <w:tabs>
          <w:tab w:val="right" w:leader="dot" w:pos="5030"/>
        </w:tabs>
        <w:rPr>
          <w:rFonts w:eastAsiaTheme="minorEastAsia"/>
          <w:b w:val="0"/>
          <w:caps w:val="0"/>
          <w:noProof/>
          <w:sz w:val="22"/>
        </w:rPr>
      </w:pPr>
      <w:hyperlink w:anchor="_Toc391645834" w:history="1">
        <w:r w:rsidR="002B1D1A" w:rsidRPr="006B6B23">
          <w:rPr>
            <w:rStyle w:val="Hyperlink"/>
            <w:noProof/>
          </w:rPr>
          <w:t>Anexo 2 – Pacotes de Licenças de Assinatura</w:t>
        </w:r>
        <w:r w:rsidR="002B1D1A">
          <w:rPr>
            <w:noProof/>
            <w:webHidden/>
          </w:rPr>
          <w:tab/>
        </w:r>
        <w:r w:rsidR="002B1D1A">
          <w:rPr>
            <w:noProof/>
            <w:webHidden/>
          </w:rPr>
          <w:fldChar w:fldCharType="begin"/>
        </w:r>
        <w:r w:rsidR="002B1D1A">
          <w:rPr>
            <w:noProof/>
            <w:webHidden/>
          </w:rPr>
          <w:instrText xml:space="preserve"> PAGEREF _Toc391645834 \h </w:instrText>
        </w:r>
        <w:r w:rsidR="002B1D1A">
          <w:rPr>
            <w:noProof/>
            <w:webHidden/>
          </w:rPr>
        </w:r>
        <w:r w:rsidR="002B1D1A">
          <w:rPr>
            <w:noProof/>
            <w:webHidden/>
          </w:rPr>
          <w:fldChar w:fldCharType="separate"/>
        </w:r>
        <w:r w:rsidR="004A3F49">
          <w:rPr>
            <w:noProof/>
            <w:webHidden/>
          </w:rPr>
          <w:t>27</w:t>
        </w:r>
        <w:r w:rsidR="002B1D1A">
          <w:rPr>
            <w:noProof/>
            <w:webHidden/>
          </w:rPr>
          <w:fldChar w:fldCharType="end"/>
        </w:r>
      </w:hyperlink>
    </w:p>
    <w:p w:rsidR="002B1D1A" w:rsidRDefault="00EA64EF">
      <w:pPr>
        <w:pStyle w:val="TOC1"/>
        <w:tabs>
          <w:tab w:val="right" w:leader="dot" w:pos="5030"/>
        </w:tabs>
        <w:rPr>
          <w:rFonts w:eastAsiaTheme="minorEastAsia"/>
          <w:b w:val="0"/>
          <w:caps w:val="0"/>
          <w:noProof/>
          <w:sz w:val="22"/>
        </w:rPr>
      </w:pPr>
      <w:hyperlink w:anchor="_Toc391645835" w:history="1">
        <w:r w:rsidR="002B1D1A" w:rsidRPr="006B6B23">
          <w:rPr>
            <w:rStyle w:val="Hyperlink"/>
            <w:noProof/>
          </w:rPr>
          <w:t>Anexo 3 – As Cláusulas Contratuais Padrão (Processadores)</w:t>
        </w:r>
        <w:r w:rsidR="002B1D1A">
          <w:rPr>
            <w:noProof/>
            <w:webHidden/>
          </w:rPr>
          <w:tab/>
        </w:r>
        <w:r w:rsidR="002B1D1A">
          <w:rPr>
            <w:noProof/>
            <w:webHidden/>
          </w:rPr>
          <w:fldChar w:fldCharType="begin"/>
        </w:r>
        <w:r w:rsidR="002B1D1A">
          <w:rPr>
            <w:noProof/>
            <w:webHidden/>
          </w:rPr>
          <w:instrText xml:space="preserve"> PAGEREF _Toc391645835 \h </w:instrText>
        </w:r>
        <w:r w:rsidR="002B1D1A">
          <w:rPr>
            <w:noProof/>
            <w:webHidden/>
          </w:rPr>
        </w:r>
        <w:r w:rsidR="002B1D1A">
          <w:rPr>
            <w:noProof/>
            <w:webHidden/>
          </w:rPr>
          <w:fldChar w:fldCharType="separate"/>
        </w:r>
        <w:r w:rsidR="004A3F49">
          <w:rPr>
            <w:noProof/>
            <w:webHidden/>
          </w:rPr>
          <w:t>28</w:t>
        </w:r>
        <w:r w:rsidR="002B1D1A">
          <w:rPr>
            <w:noProof/>
            <w:webHidden/>
          </w:rPr>
          <w:fldChar w:fldCharType="end"/>
        </w:r>
      </w:hyperlink>
    </w:p>
    <w:p w:rsidR="004D27A6" w:rsidRPr="00B810D0" w:rsidRDefault="00600D17"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B810D0" w:rsidRDefault="004D27A6" w:rsidP="00366C8E">
      <w:pPr>
        <w:pStyle w:val="ProductList-SectionHeading"/>
        <w:outlineLvl w:val="0"/>
      </w:pPr>
      <w:bookmarkStart w:id="3" w:name="Introduction"/>
      <w:bookmarkStart w:id="4" w:name="_Toc391645771"/>
      <w:r>
        <w:t>Introdução</w:t>
      </w:r>
      <w:bookmarkEnd w:id="3"/>
      <w:bookmarkEnd w:id="4"/>
    </w:p>
    <w:p w:rsidR="003F6CEE" w:rsidRPr="00B810D0"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rsidR="004D27A6" w:rsidRPr="00B810D0"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rsidR="004D27A6" w:rsidRPr="00B810D0" w:rsidRDefault="004D27A6" w:rsidP="00A914BF">
      <w:pPr>
        <w:pStyle w:val="ProductList-Body"/>
      </w:pPr>
    </w:p>
    <w:p w:rsidR="004D27A6" w:rsidRPr="00B810D0" w:rsidRDefault="003F6CEE" w:rsidP="00366C8E">
      <w:pPr>
        <w:pStyle w:val="ProductList-Offering1Heading"/>
        <w:outlineLvl w:val="1"/>
      </w:pPr>
      <w:bookmarkStart w:id="5" w:name="_Toc391645772"/>
      <w:r>
        <w:t>Versões Anteriores</w:t>
      </w:r>
      <w:bookmarkEnd w:id="5"/>
    </w:p>
    <w:p w:rsidR="004D27A6" w:rsidRPr="00B810D0"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rsidR="003F6CEE" w:rsidRPr="00B810D0" w:rsidRDefault="003F6CEE" w:rsidP="00A914BF">
      <w:pPr>
        <w:pStyle w:val="ProductList-Body"/>
      </w:pPr>
    </w:p>
    <w:p w:rsidR="00730B3A" w:rsidRPr="00B810D0"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1645773"/>
      <w:r>
        <w:t>Esclarecimentos e Resumo das Alterações</w:t>
      </w:r>
      <w:bookmarkEnd w:id="6"/>
      <w:bookmarkEnd w:id="7"/>
      <w:bookmarkEnd w:id="8"/>
      <w:bookmarkEnd w:id="9"/>
      <w:bookmarkEnd w:id="10"/>
      <w:bookmarkEnd w:id="11"/>
      <w:bookmarkEnd w:id="12"/>
    </w:p>
    <w:p w:rsidR="003F6CEE" w:rsidRPr="00B810D0" w:rsidRDefault="00730B3A" w:rsidP="00A914BF">
      <w:pPr>
        <w:pStyle w:val="ProductList-Body"/>
      </w:pPr>
      <w:r>
        <w:rPr>
          <w:b/>
          <w:color w:val="00188F"/>
        </w:rPr>
        <w:t>Alterações</w:t>
      </w:r>
    </w:p>
    <w:p w:rsidR="00730B3A" w:rsidRPr="00B810D0" w:rsidRDefault="00730B3A" w:rsidP="00730B3A">
      <w:pPr>
        <w:pStyle w:val="ProductList-Body"/>
      </w:pPr>
      <w:r>
        <w:t>Nesta versão dos OST, há três alterações importantes dos OLSUR de abril de 2014:</w:t>
      </w:r>
    </w:p>
    <w:p w:rsidR="00730B3A" w:rsidRPr="00B810D0" w:rsidRDefault="00730B3A" w:rsidP="00A44A41">
      <w:pPr>
        <w:pStyle w:val="ProductList-Body"/>
        <w:numPr>
          <w:ilvl w:val="0"/>
          <w:numId w:val="1"/>
        </w:numPr>
        <w:ind w:left="450" w:hanging="270"/>
      </w:pPr>
      <w:r>
        <w:t>A Microsoft revisou os Termos Gerais e os Termos específicos dos Serviços Online a fim de simplificá-los, remover redundâncias e esclarecer algumas disposições sobre as quais a Microsoft recebe, com frequência, comentários e perguntas dos clientes.</w:t>
      </w:r>
    </w:p>
    <w:p w:rsidR="00730B3A" w:rsidRPr="00B810D0" w:rsidRDefault="00730B3A" w:rsidP="0088164F">
      <w:pPr>
        <w:pStyle w:val="ProductList-Body"/>
        <w:numPr>
          <w:ilvl w:val="0"/>
          <w:numId w:val="1"/>
        </w:numPr>
        <w:spacing w:before="40"/>
        <w:ind w:left="461" w:hanging="274"/>
      </w:pPr>
      <w:r>
        <w:t>A Microsoft adicionou muito mais detalhes aos termos de segurança e privacidade e incluiu os termos do contrato de processamento de dados da Microsoft e as Cláusulas Contratuais Padrão da União Europeia.</w:t>
      </w:r>
    </w:p>
    <w:p w:rsidR="003F6CEE" w:rsidRPr="00B810D0" w:rsidRDefault="00730B3A" w:rsidP="0088164F">
      <w:pPr>
        <w:pStyle w:val="ProductList-Body"/>
        <w:numPr>
          <w:ilvl w:val="0"/>
          <w:numId w:val="1"/>
        </w:numPr>
        <w:spacing w:before="40"/>
        <w:ind w:left="461" w:hanging="274"/>
      </w:pPr>
      <w:r>
        <w:t>A Microsoft agora se compromete com os termos destes OST pela duração da assinatura de cada Serviço Online do Cliente.</w:t>
      </w:r>
    </w:p>
    <w:p w:rsidR="003F6CEE" w:rsidRPr="00B810D0" w:rsidRDefault="003F6CEE" w:rsidP="00A914BF">
      <w:pPr>
        <w:pStyle w:val="ProductList-Body"/>
      </w:pPr>
    </w:p>
    <w:p w:rsidR="003F6CEE" w:rsidRPr="00B810D0" w:rsidRDefault="00730B3A" w:rsidP="00A914BF">
      <w:pPr>
        <w:pStyle w:val="ProductList-Body"/>
      </w:pPr>
      <w:r>
        <w:rPr>
          <w:b/>
          <w:color w:val="00188F"/>
        </w:rPr>
        <w:t>Alteração de Nomes</w:t>
      </w:r>
    </w:p>
    <w:p w:rsidR="00730B3A" w:rsidRPr="00B810D0" w:rsidRDefault="003C35CD" w:rsidP="00A914BF">
      <w:pPr>
        <w:pStyle w:val="ProductList-Body"/>
      </w:pPr>
      <w:r>
        <w:t>Além das alterações acima. Os Serviços Online anteriormente denominados “Windows Azure” agora são denominados “Microsoft Azure”.</w:t>
      </w:r>
    </w:p>
    <w:p w:rsidR="003F6CEE" w:rsidRPr="00B810D0" w:rsidRDefault="003F6CEE" w:rsidP="00A914BF">
      <w:pPr>
        <w:pStyle w:val="ProductList-Body"/>
      </w:pPr>
    </w:p>
    <w:p w:rsidR="004D27A6" w:rsidRPr="00B810D0" w:rsidRDefault="004D27A6" w:rsidP="00A914BF">
      <w:pPr>
        <w:pStyle w:val="ProductList-Body"/>
      </w:pPr>
    </w:p>
    <w:p w:rsidR="004D27A6" w:rsidRDefault="004D27A6" w:rsidP="00A914BF">
      <w:pPr>
        <w:pStyle w:val="ProductList-Body"/>
        <w:sectPr w:rsidR="004D27A6" w:rsidSect="00A61B2A">
          <w:footerReference w:type="first" r:id="rId20"/>
          <w:pgSz w:w="12240" w:h="15840"/>
          <w:pgMar w:top="1440" w:right="720" w:bottom="1440" w:left="720" w:header="720" w:footer="720" w:gutter="0"/>
          <w:cols w:space="720"/>
          <w:titlePg/>
          <w:docGrid w:linePitch="360"/>
        </w:sectPr>
      </w:pPr>
    </w:p>
    <w:p w:rsidR="004D27A6" w:rsidRPr="00B810D0" w:rsidRDefault="00730B3A" w:rsidP="00366C8E">
      <w:pPr>
        <w:pStyle w:val="ProductList-SectionHeading"/>
        <w:outlineLvl w:val="0"/>
      </w:pPr>
      <w:bookmarkStart w:id="13" w:name="GeneralTerms"/>
      <w:bookmarkStart w:id="14" w:name="_Toc391645774"/>
      <w:r>
        <w:t>Termos Gerais</w:t>
      </w:r>
      <w:bookmarkEnd w:id="13"/>
      <w:bookmarkEnd w:id="14"/>
    </w:p>
    <w:p w:rsidR="00730B3A" w:rsidRPr="00B810D0" w:rsidRDefault="00730B3A"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Uma SL de Usuário é necessária para cada usuário que acesse o Serviço Online,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p>
    <w:p w:rsidR="00730B3A" w:rsidRPr="00B810D0" w:rsidRDefault="00730B3A" w:rsidP="00A914BF">
      <w:pPr>
        <w:pStyle w:val="ProductList-Body"/>
      </w:pPr>
    </w:p>
    <w:p w:rsidR="00730B3A" w:rsidRPr="00B810D0" w:rsidRDefault="00103924" w:rsidP="00366C8E">
      <w:pPr>
        <w:pStyle w:val="ProductList-SubSubSectionHeading"/>
        <w:outlineLvl w:val="1"/>
      </w:pPr>
      <w:bookmarkStart w:id="15" w:name="_Toc391645775"/>
      <w:r>
        <w:t>Definições</w:t>
      </w:r>
      <w:bookmarkEnd w:id="15"/>
    </w:p>
    <w:p w:rsidR="00103924" w:rsidRPr="00B810D0" w:rsidRDefault="00103924" w:rsidP="00337870">
      <w:pPr>
        <w:pStyle w:val="ProductList-Body"/>
        <w:spacing w:after="120"/>
      </w:pPr>
      <w:r>
        <w:t>Se algum dos termos a seguir não estiver definido no contrato de licenciamento por volume do Cliente, ele terá a definição indicada abaixo.</w:t>
      </w:r>
    </w:p>
    <w:p w:rsidR="00103924" w:rsidRPr="00B810D0"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rsidR="00103924" w:rsidRPr="00B810D0"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rsidR="00103924" w:rsidRPr="00B810D0" w:rsidRDefault="00337870" w:rsidP="00337870">
      <w:pPr>
        <w:pStyle w:val="ProductList-Body"/>
        <w:spacing w:after="120"/>
      </w:pPr>
      <w:r>
        <w:t>“Instância” significa uma imagem de software criada pela execução do procedimento de configuração ou instalação do software ou pela duplicação dessa imagem.</w:t>
      </w:r>
    </w:p>
    <w:p w:rsidR="00103924" w:rsidRPr="00B810D0"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rsidR="00103924" w:rsidRPr="00B810D0" w:rsidRDefault="00874919" w:rsidP="00337870">
      <w:pPr>
        <w:pStyle w:val="ProductList-Body"/>
        <w:spacing w:after="120"/>
      </w:pPr>
      <w:r>
        <w:t>“Produto que Não Seja da Microsoft” significa qualquer software, dados, serviço, site ou produto de terceiros.</w:t>
      </w:r>
    </w:p>
    <w:p w:rsidR="00103924" w:rsidRPr="00B810D0" w:rsidRDefault="00874919" w:rsidP="00337870">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da Lista de Produtos. A Lista de Produtos está localizada no site </w:t>
      </w:r>
      <w:hyperlink r:id="rId21" w:history="1">
        <w:r>
          <w:rPr>
            <w:rStyle w:val="Hyperlink"/>
          </w:rPr>
          <w:t>http://go.microsoft.com/?linkid=9839207</w:t>
        </w:r>
      </w:hyperlink>
      <w:r w:rsidRPr="00ED7512">
        <w:rPr>
          <w:rStyle w:val="Hyperlink"/>
          <w:u w:val="none"/>
        </w:rPr>
        <w:t>.</w:t>
      </w:r>
    </w:p>
    <w:p w:rsidR="00103924" w:rsidRPr="00B810D0" w:rsidRDefault="00874919" w:rsidP="00337870">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rsidR="00730B3A" w:rsidRPr="00B810D0" w:rsidRDefault="00337870" w:rsidP="00103924">
      <w:pPr>
        <w:pStyle w:val="ProductList-Body"/>
      </w:pPr>
      <w:r>
        <w:t>“SL” significa licença de assinatura.</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6" w:name="_Toc391645776"/>
      <w:r>
        <w:t>Atualizações dos Termos dos Serviços Online</w:t>
      </w:r>
      <w:bookmarkEnd w:id="16"/>
    </w:p>
    <w:p w:rsidR="00103924" w:rsidRPr="00B810D0"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7" w:name="_Toc391645777"/>
      <w:r>
        <w:t>Alterações Regulatórias e Disponibilidade Internacional</w:t>
      </w:r>
      <w:bookmarkEnd w:id="17"/>
    </w:p>
    <w:p w:rsidR="00103924" w:rsidRPr="00B810D0"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8" w:name="_Toc391645778"/>
      <w:r>
        <w:t>Retenção de Dados</w:t>
      </w:r>
      <w:bookmarkEnd w:id="18"/>
    </w:p>
    <w:p w:rsidR="00103924" w:rsidRPr="00B810D0" w:rsidRDefault="00103924" w:rsidP="00337870">
      <w:pPr>
        <w:pStyle w:val="ProductList-Body"/>
        <w:spacing w:after="120"/>
      </w:pPr>
      <w:r>
        <w:t>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p>
    <w:p w:rsidR="00103924" w:rsidRPr="00B810D0"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9" w:name="_Toc391645779"/>
      <w:r>
        <w:t>Uso de Software com o Serviço Online</w:t>
      </w:r>
      <w:bookmarkEnd w:id="19"/>
    </w:p>
    <w:p w:rsidR="00103924" w:rsidRPr="00B810D0" w:rsidRDefault="00103924" w:rsidP="00103924">
      <w:pPr>
        <w:pStyle w:val="ProductList-Body"/>
      </w:pPr>
      <w:r>
        <w:t>É possível que o Cliente precise instalar determinados programas de software da Microsoft a fim de usar o Serviço Online. Nesse caso, os seguintes termos se aplicam:</w:t>
      </w:r>
    </w:p>
    <w:p w:rsidR="00AD5F09" w:rsidRPr="00B810D0" w:rsidRDefault="00AD5F09" w:rsidP="00103924">
      <w:pPr>
        <w:pStyle w:val="ProductList-Body"/>
      </w:pPr>
    </w:p>
    <w:p w:rsidR="00103924" w:rsidRPr="00B810D0" w:rsidRDefault="00103924" w:rsidP="00366C8E">
      <w:pPr>
        <w:pStyle w:val="ProductList-Body"/>
        <w:ind w:left="180"/>
        <w:outlineLvl w:val="2"/>
      </w:pPr>
      <w:r>
        <w:rPr>
          <w:b/>
          <w:color w:val="0072C6"/>
        </w:rPr>
        <w:t>Termos de Licença para Software Microsoft</w:t>
      </w:r>
    </w:p>
    <w:p w:rsidR="00103924" w:rsidRPr="00B810D0"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w:t>
      </w:r>
      <w:r w:rsidR="00AF4CA4">
        <w:t> </w:t>
      </w:r>
      <w:r>
        <w:t>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w:t>
      </w:r>
      <w:r w:rsidR="00AF4CA4">
        <w:t> </w:t>
      </w:r>
      <w:r>
        <w:t>software quando terminar o seu direito de usá-lo. Nessa ocasião, a Microsoft poderá desabilitar o software.</w:t>
      </w:r>
    </w:p>
    <w:p w:rsidR="00AD5F09" w:rsidRPr="00B810D0" w:rsidRDefault="00AD5F09" w:rsidP="00AD5F09">
      <w:pPr>
        <w:pStyle w:val="ProductList-Body"/>
        <w:ind w:left="180"/>
      </w:pPr>
    </w:p>
    <w:p w:rsidR="00103924" w:rsidRPr="00B810D0" w:rsidRDefault="00103924" w:rsidP="00366C8E">
      <w:pPr>
        <w:pStyle w:val="ProductList-Body"/>
        <w:ind w:left="180"/>
        <w:outlineLvl w:val="2"/>
      </w:pPr>
      <w:r>
        <w:rPr>
          <w:b/>
          <w:color w:val="0072C6"/>
        </w:rPr>
        <w:t>Validação, Atualizações Automáticas e Coleta para Software</w:t>
      </w:r>
    </w:p>
    <w:p w:rsidR="00103924" w:rsidRPr="00B810D0" w:rsidRDefault="00103924"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poderão coletar dados sobre o uso e o desempenho deles, que poderão ser transmitidos para a Microsoft e usados para os fins descritos nestes OST.</w:t>
      </w:r>
    </w:p>
    <w:p w:rsidR="00AD5F09" w:rsidRPr="00B810D0" w:rsidRDefault="00AD5F09" w:rsidP="00AD5F09">
      <w:pPr>
        <w:pStyle w:val="ProductList-Body"/>
        <w:ind w:left="180"/>
      </w:pPr>
    </w:p>
    <w:p w:rsidR="00103924" w:rsidRPr="00B810D0" w:rsidRDefault="00103924" w:rsidP="00366C8E">
      <w:pPr>
        <w:pStyle w:val="ProductList-Body"/>
        <w:ind w:left="180"/>
        <w:outlineLvl w:val="2"/>
      </w:pPr>
      <w:r>
        <w:rPr>
          <w:b/>
          <w:color w:val="0072C6"/>
        </w:rPr>
        <w:t>Componentes de Software de Terceiros</w:t>
      </w:r>
    </w:p>
    <w:p w:rsidR="00103924" w:rsidRPr="00B810D0" w:rsidRDefault="00103924" w:rsidP="00AD5F09">
      <w:pPr>
        <w:pStyle w:val="ProductList-Body"/>
        <w:ind w:left="180"/>
      </w:pPr>
      <w:r>
        <w:t>O software poderá conter componentes de software de terceiros. A menos que divulgado de outra forma nesse software, a Microsoft, não o</w:t>
      </w:r>
      <w:r w:rsidR="00AF4CA4">
        <w:t> </w:t>
      </w:r>
      <w:r>
        <w:t>terceiro, licencia esses componentes para o Cliente de acordo com os termos de licença e as notificações da Microsoft.</w:t>
      </w:r>
    </w:p>
    <w:p w:rsidR="00AD5F09" w:rsidRPr="00B810D0" w:rsidRDefault="00AD5F09" w:rsidP="00AD5F09">
      <w:pPr>
        <w:pStyle w:val="ProductList-Body"/>
      </w:pPr>
    </w:p>
    <w:p w:rsidR="00AD5F09" w:rsidRPr="00B810D0" w:rsidRDefault="00AD5F09" w:rsidP="00366C8E">
      <w:pPr>
        <w:pStyle w:val="ProductList-SubSubSectionHeading"/>
        <w:outlineLvl w:val="1"/>
      </w:pPr>
      <w:bookmarkStart w:id="20" w:name="_Toc391645780"/>
      <w:r>
        <w:t>Produtos que Não Sejam da Microsoft</w:t>
      </w:r>
      <w:bookmarkEnd w:id="20"/>
    </w:p>
    <w:p w:rsidR="00103924" w:rsidRPr="00B810D0" w:rsidRDefault="00AD5F09" w:rsidP="00AD5F09">
      <w:pPr>
        <w:pStyle w:val="ProductList-Body"/>
      </w:pPr>
      <w:r>
        <w:t xml:space="preserve">A Microsoft poderá disponibilizar ao Cliente Produtos que Não Sejam da Microsoft por meio do uso que o Cliente fizer dos Serviços Online (por exemplo, por uma loja ou galeria).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rsidR="00103924" w:rsidRPr="00B810D0" w:rsidRDefault="00103924" w:rsidP="00103924">
      <w:pPr>
        <w:pStyle w:val="ProductList-Body"/>
      </w:pPr>
    </w:p>
    <w:p w:rsidR="00AD5F09" w:rsidRPr="00B810D0" w:rsidRDefault="00AD5F09" w:rsidP="00366C8E">
      <w:pPr>
        <w:pStyle w:val="ProductList-SubSubSectionHeading"/>
        <w:outlineLvl w:val="1"/>
      </w:pPr>
      <w:bookmarkStart w:id="21" w:name="_Toc391645781"/>
      <w:r>
        <w:t>Política de Uso Aceitável</w:t>
      </w:r>
      <w:bookmarkEnd w:id="21"/>
      <w:r>
        <w:t xml:space="preserve"> </w:t>
      </w:r>
    </w:p>
    <w:p w:rsidR="00AD5F09" w:rsidRPr="00B810D0" w:rsidRDefault="00AD5F09" w:rsidP="00AD5F09">
      <w:pPr>
        <w:pStyle w:val="ProductList-Body"/>
      </w:pPr>
      <w:r>
        <w:t>Nem o Cliente nem os usuários que acessam um Serviço Online por meio do Cliente poderão usar um Serviço Online:</w:t>
      </w:r>
    </w:p>
    <w:p w:rsidR="00AD5F09" w:rsidRPr="00B810D0" w:rsidRDefault="00AD5F09" w:rsidP="00A44A41">
      <w:pPr>
        <w:pStyle w:val="ProductList-Body"/>
        <w:numPr>
          <w:ilvl w:val="0"/>
          <w:numId w:val="2"/>
        </w:numPr>
        <w:ind w:left="450" w:hanging="270"/>
      </w:pPr>
      <w:r>
        <w:t>de uma forma que seja proibida por lei, regulamento, ordem governamental ou decreto;</w:t>
      </w:r>
    </w:p>
    <w:p w:rsidR="00AD5F09" w:rsidRPr="00B810D0" w:rsidRDefault="00AD5F09" w:rsidP="0088164F">
      <w:pPr>
        <w:pStyle w:val="ProductList-Body"/>
        <w:numPr>
          <w:ilvl w:val="0"/>
          <w:numId w:val="2"/>
        </w:numPr>
        <w:spacing w:before="40"/>
        <w:ind w:left="450" w:hanging="270"/>
      </w:pPr>
      <w:r>
        <w:t xml:space="preserve">para violar os direitos de outros; </w:t>
      </w:r>
    </w:p>
    <w:p w:rsidR="00AD5F09" w:rsidRPr="00B810D0"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rsidR="00AD5F09" w:rsidRPr="00B810D0" w:rsidRDefault="00AD5F09" w:rsidP="0088164F">
      <w:pPr>
        <w:pStyle w:val="ProductList-Body"/>
        <w:numPr>
          <w:ilvl w:val="0"/>
          <w:numId w:val="2"/>
        </w:numPr>
        <w:spacing w:before="40"/>
        <w:ind w:left="450" w:hanging="270"/>
      </w:pPr>
      <w:r>
        <w:t>para enviar spams ou distribuir malware;</w:t>
      </w:r>
    </w:p>
    <w:p w:rsidR="00AD5F09" w:rsidRPr="00B810D0"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rsidR="00AD5F09" w:rsidRPr="00B810D0"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w:t>
      </w:r>
      <w:r w:rsidR="00AF4CA4">
        <w:t> </w:t>
      </w:r>
      <w:r>
        <w:t>danos físicos ou ambientais graves.</w:t>
      </w:r>
    </w:p>
    <w:p w:rsidR="00103924" w:rsidRPr="00B810D0"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rsidR="003C35CD" w:rsidRPr="00B810D0" w:rsidRDefault="003C35CD" w:rsidP="003C35CD">
      <w:pPr>
        <w:pStyle w:val="ProductList-Body"/>
      </w:pPr>
    </w:p>
    <w:p w:rsidR="003C35CD" w:rsidRPr="00B810D0" w:rsidRDefault="003C35CD" w:rsidP="003C35CD">
      <w:pPr>
        <w:pStyle w:val="ProductList-SubSubSectionHeading"/>
        <w:outlineLvl w:val="1"/>
      </w:pPr>
      <w:bookmarkStart w:id="22" w:name="_Toc391645782"/>
      <w:r>
        <w:t>Limitações Técnicas</w:t>
      </w:r>
      <w:bookmarkEnd w:id="22"/>
    </w:p>
    <w:p w:rsidR="003C35CD" w:rsidRPr="00B810D0" w:rsidRDefault="003C35CD" w:rsidP="003C35CD">
      <w:pPr>
        <w:pStyle w:val="ProductList-Body"/>
      </w:pPr>
      <w:r>
        <w:t>O Cliente deverá cumprir e não poderá contornar nenhuma limitação técnica de um Serviço Online que permita ao Cliente usá-lo apenas de determinadas maneiras.</w:t>
      </w:r>
    </w:p>
    <w:p w:rsidR="00103924" w:rsidRPr="00B810D0" w:rsidRDefault="00103924" w:rsidP="00103924">
      <w:pPr>
        <w:pStyle w:val="ProductList-Body"/>
      </w:pPr>
    </w:p>
    <w:p w:rsidR="00AD5F09" w:rsidRPr="00B810D0" w:rsidRDefault="00AD5F09" w:rsidP="00366C8E">
      <w:pPr>
        <w:pStyle w:val="ProductList-SubSubSectionHeading"/>
        <w:outlineLvl w:val="1"/>
      </w:pPr>
      <w:bookmarkStart w:id="23" w:name="_Toc391645783"/>
      <w:r>
        <w:t>Cumprimento das Leis</w:t>
      </w:r>
      <w:bookmarkEnd w:id="23"/>
    </w:p>
    <w:p w:rsidR="00AD5F09" w:rsidRPr="00B810D0" w:rsidRDefault="00AD5F09" w:rsidP="00F824AC">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w:t>
      </w:r>
      <w:r w:rsidR="00AF4CA4">
        <w:t> </w:t>
      </w:r>
      <w:r>
        <w:t>setor de atividade do Cliente e que não sejam geralmente aplicáveis a provedores de serviços de tecnologia da informação.</w:t>
      </w:r>
    </w:p>
    <w:p w:rsidR="00AD5F09" w:rsidRPr="00B810D0" w:rsidRDefault="00AD5F09" w:rsidP="00AD5F09">
      <w:pPr>
        <w:pStyle w:val="ProductList-Body"/>
      </w:pPr>
      <w:r>
        <w:t>O Cliente deverá cumprir todas as leis e os regulamentos aplicáveis ao uso dos Serviços Online, inclusive leis relacionadas a privacidade, proteção de dados e confidencialidade das comunicações. O Cliente é responsável por implementar e manter proteções de privacidade e medidas de segurança para componentes fornecidos ou controlados por ele (como dispositivos registrados no Windows Intune, na máquina virtual ou no aplicativo de um cliente do Microsoft Azure).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rsidR="003C35CD" w:rsidRPr="00B810D0" w:rsidRDefault="003C35CD" w:rsidP="003C35CD">
      <w:pPr>
        <w:pStyle w:val="ProductList-Body"/>
      </w:pPr>
    </w:p>
    <w:p w:rsidR="003C35CD" w:rsidRPr="00B810D0" w:rsidRDefault="003C35CD" w:rsidP="003C35CD">
      <w:pPr>
        <w:pStyle w:val="ProductList-SubSubSectionHeading"/>
        <w:outlineLvl w:val="1"/>
      </w:pPr>
      <w:bookmarkStart w:id="24" w:name="_Toc391645784"/>
      <w:r>
        <w:t>Direitos Adquiridos</w:t>
      </w:r>
      <w:bookmarkEnd w:id="24"/>
    </w:p>
    <w:p w:rsidR="003C35CD" w:rsidRPr="00B810D0" w:rsidRDefault="003C35CD" w:rsidP="003C35CD">
      <w:pPr>
        <w:pStyle w:val="ProductList-Body"/>
      </w:pPr>
      <w:r>
        <w:t>A Microsoft e o Cliente concordam que o fornecimento e o uso dos Serviços Online não devam resultar em nenhuma obrigação prevista na Diretiva de Direitos Adquiridos (Diretiva do Conselho 2001/23/EC, antiga Diretiva do Conselho 77/187/EC, conforme alteração feita pelo Conselho Diretivo 98/50/EC) nem em quaisquer leis ou regulamentos nacionais que implementem as mesmas leis ou regulamentos ou leis ou regulamentos similares (incluindo a Lei de Transferência de Ativos (Proteção de Emprego) de 2006 no Reino Unido) (coletivamente, “ARD”). O Cliente defenderá a Microsoft de todos os requerimentos judiciais ou extrajudiciais decorrentes dos ARDs que aleguem a transferência (ou suposta transferência) de qualquer funcionário ou prestador de serviços para a Microsoft como resultado do fornecimento dos Serviços Online. A Microsoft defenderá o Cliente de todos os requerimentos judiciais ou extrajudiciais decorrentes dos ARDs que aleguem a transferência (ou suposta transferência) de qualquer funcionário ou prestador de serviços para o Cliente como resultado da rescisão de qualquer Serviço Online. Em cada caso, a parte defensora deverá pagar o valor de qualquer decisão judicial desfavorável transitada em julgado (ou acordo por ela ratificado), e a outra parte deverá notificar a parte defensora sobre o requerimento judicial ou extrajudicial e conceder-lhe o controle exclusivo da defesa e do acordo deste, além de prestar assistência razoável na defesa do requerimento (com custos ocasionais razoáveis pela assistência a serem reembolsados pela parte defensora).</w:t>
      </w:r>
    </w:p>
    <w:p w:rsidR="00AD5F09" w:rsidRPr="00B810D0" w:rsidRDefault="00AD5F09" w:rsidP="00AD5F09">
      <w:pPr>
        <w:pStyle w:val="ProductList-Body"/>
      </w:pPr>
    </w:p>
    <w:p w:rsidR="00AD5F09" w:rsidRPr="00B810D0" w:rsidRDefault="00AD5F09" w:rsidP="00366C8E">
      <w:pPr>
        <w:pStyle w:val="ProductList-SubSubSectionHeading"/>
        <w:outlineLvl w:val="1"/>
      </w:pPr>
      <w:bookmarkStart w:id="25" w:name="_Toc391645785"/>
      <w:r>
        <w:t>Notificações Eletrônicas</w:t>
      </w:r>
      <w:bookmarkEnd w:id="25"/>
    </w:p>
    <w:p w:rsidR="00AD5F09" w:rsidRPr="00B810D0"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6" w:name="_Toc391645786"/>
      <w:r>
        <w:t>Reconsignação da Licença</w:t>
      </w:r>
      <w:bookmarkEnd w:id="26"/>
    </w:p>
    <w:p w:rsidR="00AD5F09" w:rsidRPr="00B810D0"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w:t>
      </w:r>
      <w:r w:rsidR="00ED7512">
        <w:t> </w:t>
      </w:r>
      <w:r>
        <w:t>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7" w:name="_Toc391645787"/>
      <w:r>
        <w:t>Componentes de Fontes</w:t>
      </w:r>
      <w:bookmarkEnd w:id="27"/>
    </w:p>
    <w:p w:rsidR="00AD5F09" w:rsidRPr="00B810D0" w:rsidRDefault="00AD5F09" w:rsidP="00AD5F09">
      <w:pPr>
        <w:pStyle w:val="ProductList-Body"/>
      </w:pPr>
      <w:r>
        <w:t>Enquanto o Cliente usar um Serviço Online, ele poderá usar as fontes instaladas pelo Serviço Online em questão para exibir e imprimir conteúdo. O</w:t>
      </w:r>
      <w:r w:rsidR="00ED7512">
        <w:t> </w:t>
      </w:r>
      <w:r>
        <w:t>Cliente só poderá inserir fontes no conteúdo conforme permitido pelas restrições à inserção das fontes e baixá-las temporariamente para uma impressora ou outro dispositivo de saída para imprimir conteúdo.</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8" w:name="_Toc391645788"/>
      <w:r>
        <w:t>Multiplexação</w:t>
      </w:r>
      <w:bookmarkEnd w:id="28"/>
    </w:p>
    <w:p w:rsidR="00103924" w:rsidRPr="00B810D0"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rsidR="00103924" w:rsidRPr="00B810D0" w:rsidRDefault="00103924" w:rsidP="00103924">
      <w:pPr>
        <w:pStyle w:val="ProductList-Body"/>
      </w:pPr>
    </w:p>
    <w:p w:rsidR="004D27A6" w:rsidRPr="00B810D0"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B810D0" w:rsidRDefault="000E6ED8" w:rsidP="00366C8E">
      <w:pPr>
        <w:pStyle w:val="ProductList-SectionHeading"/>
        <w:outlineLvl w:val="0"/>
      </w:pPr>
      <w:bookmarkStart w:id="29" w:name="PrivacyandSecurityTerms"/>
      <w:bookmarkStart w:id="30" w:name="_Toc391645789"/>
      <w:r>
        <w:t>Termos de Privacidade e Segurança</w:t>
      </w:r>
      <w:bookmarkEnd w:id="29"/>
      <w:bookmarkEnd w:id="30"/>
    </w:p>
    <w:p w:rsidR="00F77036" w:rsidRPr="00B810D0" w:rsidRDefault="00F77036" w:rsidP="00F77036">
      <w:pPr>
        <w:pStyle w:val="ProductList-Body"/>
      </w:pPr>
      <w:r>
        <w:t xml:space="preserve">Esta seção dos Termos dos Serviços Online tem duas partes: </w:t>
      </w:r>
    </w:p>
    <w:p w:rsidR="00F77036" w:rsidRPr="00B810D0" w:rsidRDefault="00F77036" w:rsidP="00A44A41">
      <w:pPr>
        <w:pStyle w:val="ProductList-Body"/>
        <w:numPr>
          <w:ilvl w:val="0"/>
          <w:numId w:val="3"/>
        </w:numPr>
        <w:ind w:left="450" w:hanging="270"/>
      </w:pPr>
      <w:r>
        <w:t>Termos Gerais de Privacidade e Segurança, que se aplicam a todos os Serviços Online, e</w:t>
      </w:r>
    </w:p>
    <w:p w:rsidR="000E6ED8" w:rsidRPr="00B810D0" w:rsidRDefault="00F77036" w:rsidP="0088164F">
      <w:pPr>
        <w:pStyle w:val="ProductList-Body"/>
        <w:numPr>
          <w:ilvl w:val="0"/>
          <w:numId w:val="3"/>
        </w:numPr>
        <w:spacing w:before="40"/>
        <w:ind w:left="461" w:hanging="274"/>
      </w:pPr>
      <w:r>
        <w:t>Termos de Processamento de Dados, que são compromissos adicionais para determinados Serviços Online.</w:t>
      </w:r>
    </w:p>
    <w:p w:rsidR="00F77036" w:rsidRPr="00B810D0" w:rsidRDefault="00F77036" w:rsidP="00F77036">
      <w:pPr>
        <w:pStyle w:val="ProductList-Body"/>
      </w:pPr>
    </w:p>
    <w:p w:rsidR="000E6ED8" w:rsidRPr="00B810D0" w:rsidRDefault="00F77036" w:rsidP="00366C8E">
      <w:pPr>
        <w:pStyle w:val="ProductList-Offering2Heading"/>
        <w:outlineLvl w:val="1"/>
      </w:pPr>
      <w:bookmarkStart w:id="31" w:name="_Toc391645790"/>
      <w:r>
        <w:t>Termos Gerais de Privacidade e Segurança</w:t>
      </w:r>
      <w:bookmarkEnd w:id="31"/>
    </w:p>
    <w:p w:rsidR="00F77036" w:rsidRPr="00B810D0" w:rsidRDefault="00F77036" w:rsidP="00366C8E">
      <w:pPr>
        <w:pStyle w:val="ProductList-SubSubSectionHeading"/>
        <w:outlineLvl w:val="2"/>
      </w:pPr>
      <w:bookmarkStart w:id="32" w:name="_Toc391645791"/>
      <w:r>
        <w:t>Escopo</w:t>
      </w:r>
      <w:bookmarkEnd w:id="32"/>
    </w:p>
    <w:p w:rsidR="00F77036" w:rsidRPr="00B810D0" w:rsidRDefault="00F77036" w:rsidP="00F77036">
      <w:pPr>
        <w:pStyle w:val="ProductList-Body"/>
      </w:pPr>
      <w:r>
        <w:t xml:space="preserve">Os termos contidos nesta seção se aplicam a todos os Serviços Online, exceto a Plataforma Corporativa do Bing Mapas, a Plataforma de Gerenciamento de Ativos Móveis do Bing Mapas, a API do Translator e o Yammer,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3" w:name="_Toc391645792"/>
      <w:r>
        <w:t>Uso dos Dados do Cliente</w:t>
      </w:r>
      <w:bookmarkEnd w:id="33"/>
    </w:p>
    <w:p w:rsidR="00F77036" w:rsidRPr="00B810D0"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4" w:name="_Toc391645793"/>
      <w:r>
        <w:t>Divulgação dos Dados do Cliente</w:t>
      </w:r>
      <w:bookmarkEnd w:id="34"/>
    </w:p>
    <w:p w:rsidR="00F77036" w:rsidRPr="00B810D0" w:rsidRDefault="00F77036" w:rsidP="00F824AC">
      <w:pPr>
        <w:pStyle w:val="ProductList-Body"/>
        <w:spacing w:after="120"/>
      </w:pPr>
      <w:r>
        <w:t xml:space="preserve">A Microsoft não divulgará os Dados do Cliente fora da Microsoft nem de suas afiliadas e subsidiárias controladas, exceto (1) conforme instruções do Cliente, (2) com a permissão de um usuário final, (3) conforme descrito nos OST ou (4) como exigido por lei. </w:t>
      </w:r>
    </w:p>
    <w:p w:rsidR="00F77036" w:rsidRPr="00B810D0" w:rsidRDefault="00F77036" w:rsidP="00F824AC">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rsidR="00F77036" w:rsidRPr="00B810D0" w:rsidRDefault="00F77036" w:rsidP="00F824AC">
      <w:pPr>
        <w:pStyle w:val="ProductList-Body"/>
        <w:spacing w:after="120"/>
      </w:pPr>
      <w:r>
        <w:t>No recebimento de qualquer outra solicitação de terceiros pelos Dados do Cliente, como solicitações de usuários finais do Cliente, a Microsoft o</w:t>
      </w:r>
      <w:r w:rsidR="00F20BE4">
        <w:t> </w:t>
      </w:r>
      <w:r>
        <w:t>notificará imediatamente, a menos que seja proibida por lei. Se a Microsoft não for obrigada por lei a divulgar os Dados do Cliente, ela rejeitará a</w:t>
      </w:r>
      <w:r w:rsidR="00F20BE4">
        <w:t> </w:t>
      </w:r>
      <w:r>
        <w:t>solicitação. Se a solicitação for válida e se houver possibilidade de a Microsoft ser obrigada a divulgar as informações solicitadas, ela tentará redirecionar o terceiro para efetuar a solicitação dos Dados ao Cliente.</w:t>
      </w:r>
    </w:p>
    <w:p w:rsidR="00F77036" w:rsidRPr="00B810D0" w:rsidRDefault="00F77036" w:rsidP="00AE69BA">
      <w:pPr>
        <w:pStyle w:val="ProductList-Body"/>
        <w:spacing w:after="120"/>
      </w:pPr>
      <w:r>
        <w:t>Salvo instruções do Cliente, a Microsoft não fornecerá a nenhum terceiro: (1) acesso direto, indireto, amplo ou ilimitado aos Dados do Cliente; (2)</w:t>
      </w:r>
      <w:r w:rsidR="00F20BE4">
        <w:t> </w:t>
      </w:r>
      <w:r>
        <w:t xml:space="preserve">as chaves de criptografia da plataforma usadas para proteger os Dados do Cliente ou a capacidade de violar essa criptografia nem (3) nenhum tipo de acesso aos Dados do Cliente se a Microsoft souber que esses dados são usados para fins diferentes dos estabelecidos na solicitação. </w:t>
      </w:r>
    </w:p>
    <w:p w:rsidR="00F77036" w:rsidRPr="00B810D0" w:rsidRDefault="00F77036" w:rsidP="00F77036">
      <w:pPr>
        <w:pStyle w:val="ProductList-Body"/>
      </w:pPr>
      <w:r>
        <w:t xml:space="preserve">Em apoio ao supra mencionado, a Microsoft poderá fornecer ao terceiro as informações de contato básicas do Cliente. </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5" w:name="_Toc391645794"/>
      <w:r>
        <w:t>Instituições Educacionais</w:t>
      </w:r>
      <w:bookmarkEnd w:id="35"/>
    </w:p>
    <w:p w:rsidR="00F77036" w:rsidRPr="00B810D0"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w:t>
      </w:r>
      <w:r w:rsidR="00034048">
        <w:t> </w:t>
      </w:r>
      <w:r>
        <w:t>escola.</w:t>
      </w:r>
    </w:p>
    <w:p w:rsidR="00F77036" w:rsidRPr="00B810D0"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6" w:name="_Toc391645795"/>
      <w:r>
        <w:t>Segurança</w:t>
      </w:r>
      <w:bookmarkEnd w:id="36"/>
    </w:p>
    <w:p w:rsidR="00F77036" w:rsidRPr="00B810D0" w:rsidRDefault="00F77036" w:rsidP="00F77036">
      <w:pPr>
        <w:pStyle w:val="ProductList-Body"/>
      </w:pPr>
      <w:r>
        <w:t>A Microsoft tem o compromisso de ajudar a proteger a segurança das informações do Cliente. A Microsoft implementou, manterá e cumprirá as</w:t>
      </w:r>
      <w:r w:rsidR="008B3F5F">
        <w:t> </w:t>
      </w:r>
      <w:r>
        <w:t xml:space="preserve">medidas técnicas e organizacionais apropriadas destinadas a proteger os Dados do Cliente contra acesso, divulgação, alteração, perda ou destruição acidental não autorizados ou ilegais. </w:t>
      </w:r>
    </w:p>
    <w:p w:rsidR="00F77036" w:rsidRPr="00B810D0" w:rsidRDefault="00F77036" w:rsidP="00F77036">
      <w:pPr>
        <w:pStyle w:val="ProductList-Body"/>
      </w:pPr>
    </w:p>
    <w:p w:rsidR="000B2305" w:rsidRPr="00B810D0" w:rsidRDefault="000B2305">
      <w:r>
        <w:br w:type="page"/>
      </w:r>
    </w:p>
    <w:p w:rsidR="00F77036" w:rsidRPr="00B810D0" w:rsidRDefault="00F77036" w:rsidP="00366C8E">
      <w:pPr>
        <w:pStyle w:val="ProductList-SubSubSectionHeading"/>
        <w:outlineLvl w:val="2"/>
      </w:pPr>
      <w:bookmarkStart w:id="37" w:name="_Toc391645796"/>
      <w:r>
        <w:t>Notificação de Incidentes de Segurança</w:t>
      </w:r>
      <w:bookmarkEnd w:id="37"/>
    </w:p>
    <w:p w:rsidR="00F77036" w:rsidRPr="00B810D0"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rsidR="00F77036" w:rsidRPr="00B810D0"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rsidR="00F77036" w:rsidRPr="00B810D0"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38" w:name="_Toc391645797"/>
      <w:r>
        <w:t>Local do Processamento de Dados</w:t>
      </w:r>
      <w:bookmarkEnd w:id="38"/>
    </w:p>
    <w:p w:rsidR="00F77036" w:rsidRPr="00B810D0" w:rsidRDefault="00F77036" w:rsidP="00F77036">
      <w:pPr>
        <w:pStyle w:val="ProductList-Body"/>
      </w:pPr>
      <w:r>
        <w:t xml:space="preserve">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segue as estruturas de </w:t>
      </w:r>
      <w:r w:rsidR="006573C2">
        <w:t>“</w:t>
      </w:r>
      <w:r>
        <w:t>EU Safe Harbor</w:t>
      </w:r>
      <w:r w:rsidR="006573C2">
        <w:t>”</w:t>
      </w:r>
      <w:r>
        <w:t xml:space="preserve"> (porto seguro americano) e “Swiss Safe Harbor” (porto seguro suíço) estabelecidas pelo Departamento de Comércio dos Estados Unidos da América para a coleta, o uso e a retenção de dados coletados na União Europeia, Área Econômica Europeia e Suíça.</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39" w:name="_Toc391645798"/>
      <w:r>
        <w:t>Lançamentos de Visualizações Prévias</w:t>
      </w:r>
      <w:bookmarkEnd w:id="39"/>
    </w:p>
    <w:p w:rsidR="00F77036" w:rsidRPr="00B810D0" w:rsidRDefault="00F77036" w:rsidP="00F77036">
      <w:pPr>
        <w:pStyle w:val="ProductList-Body"/>
      </w:pPr>
      <w:r>
        <w:t>A Microsoft poderá oferecer serviços e recursos de visualização, beta ou outros serviços e recursos de pré-lançamento (</w:t>
      </w:r>
      <w:r w:rsidR="006573C2">
        <w:t>“</w:t>
      </w:r>
      <w:r>
        <w:t>Visualizações</w:t>
      </w:r>
      <w:r w:rsidR="006573C2">
        <w:t>”</w:t>
      </w:r>
      <w:r>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40" w:name="_Toc391645799"/>
      <w:r>
        <w:t>Uso de Subcontratados</w:t>
      </w:r>
      <w:bookmarkEnd w:id="40"/>
    </w:p>
    <w:p w:rsidR="000E6ED8" w:rsidRPr="00B810D0"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w:t>
      </w:r>
      <w:r w:rsidR="00034048">
        <w:t> </w:t>
      </w:r>
      <w:r>
        <w:t>Cliente consentiu anteriormente com a transferência de Dados do Cliente por parte da Microsoft aos subcontratados conforme descrito nos OST.</w:t>
      </w:r>
    </w:p>
    <w:p w:rsidR="000E6ED8" w:rsidRPr="00B810D0" w:rsidRDefault="000E6ED8" w:rsidP="00A914BF">
      <w:pPr>
        <w:pStyle w:val="ProductList-Body"/>
      </w:pPr>
    </w:p>
    <w:p w:rsidR="00F77036" w:rsidRPr="00B810D0" w:rsidRDefault="00F77036" w:rsidP="00233C87">
      <w:pPr>
        <w:pStyle w:val="ProductList-SubSubSectionHeading"/>
        <w:outlineLvl w:val="2"/>
      </w:pPr>
      <w:bookmarkStart w:id="41" w:name="_Toc391645800"/>
      <w:r>
        <w:t>Como Entrar em Contato com a Microsoft</w:t>
      </w:r>
      <w:bookmarkEnd w:id="41"/>
    </w:p>
    <w:p w:rsidR="00F77036" w:rsidRPr="00B810D0" w:rsidRDefault="00F77036" w:rsidP="00F77036">
      <w:pPr>
        <w:pStyle w:val="ProductList-Body"/>
      </w:pPr>
      <w:r>
        <w:t>Se o Cliente acreditar que a Microsoft não está cumprindo seus compromissos de privacidade ou segurança, ele poderá entrar em contato com o</w:t>
      </w:r>
      <w:r w:rsidR="008B3F5F">
        <w:t> </w:t>
      </w:r>
      <w:r>
        <w:t xml:space="preserve">atendimento ao cliente ou usar o formulário da Web Privacidade da Microsoft, localizado no site </w:t>
      </w:r>
      <w:hyperlink r:id="rId25" w:history="1">
        <w:r>
          <w:rPr>
            <w:rStyle w:val="Hyperlink"/>
          </w:rPr>
          <w:t>http://go.microsoft.com/?linkid=9846224</w:t>
        </w:r>
      </w:hyperlink>
      <w:r>
        <w:t>. O</w:t>
      </w:r>
      <w:r w:rsidR="008B3F5F">
        <w:t> </w:t>
      </w:r>
      <w:r>
        <w:t>endereço de cor</w:t>
      </w:r>
      <w:r w:rsidR="006573C2">
        <w:t>respondência da Microsoft é:</w:t>
      </w:r>
    </w:p>
    <w:p w:rsidR="00F77036" w:rsidRPr="00B810D0" w:rsidRDefault="00F77036" w:rsidP="0088164F">
      <w:pPr>
        <w:pStyle w:val="ProductList-Body"/>
        <w:spacing w:before="120"/>
        <w:ind w:left="187"/>
      </w:pPr>
      <w:r>
        <w:rPr>
          <w:b/>
        </w:rPr>
        <w:t>Microsoft Enterprise Service Privacy</w:t>
      </w:r>
    </w:p>
    <w:p w:rsidR="00F77036" w:rsidRPr="00B810D0" w:rsidRDefault="00F77036" w:rsidP="00F77036">
      <w:pPr>
        <w:pStyle w:val="ProductList-Body"/>
        <w:ind w:left="180"/>
      </w:pPr>
      <w:r>
        <w:t>Microsoft Corporation</w:t>
      </w:r>
    </w:p>
    <w:p w:rsidR="00F77036" w:rsidRPr="00B810D0" w:rsidRDefault="00F77036" w:rsidP="00F77036">
      <w:pPr>
        <w:pStyle w:val="ProductList-Body"/>
        <w:ind w:left="180"/>
      </w:pPr>
      <w:r>
        <w:t>One Microsoft Way</w:t>
      </w:r>
    </w:p>
    <w:p w:rsidR="00F77036" w:rsidRPr="00B810D0" w:rsidRDefault="00F77036" w:rsidP="00F77036">
      <w:pPr>
        <w:pStyle w:val="ProductList-Body"/>
        <w:ind w:left="180"/>
      </w:pPr>
      <w:r>
        <w:t>Redmond, Washington 98052 USA</w:t>
      </w:r>
    </w:p>
    <w:p w:rsidR="00F77036" w:rsidRPr="00B810D0" w:rsidRDefault="00F77036" w:rsidP="00F77036">
      <w:pPr>
        <w:pStyle w:val="ProductList-Body"/>
      </w:pPr>
    </w:p>
    <w:p w:rsidR="00F77036" w:rsidRPr="00B810D0" w:rsidRDefault="00F77036" w:rsidP="00F77036">
      <w:pPr>
        <w:pStyle w:val="ProductList-Body"/>
      </w:pPr>
      <w:r>
        <w:t>A Microsoft Ireland Operations Limited é o representante de proteção de dados da Microsoft para a Área Econômica Europeia e Suíça. O</w:t>
      </w:r>
      <w:r w:rsidR="008B3F5F">
        <w:t> </w:t>
      </w:r>
      <w:r>
        <w:t>representante de privacidade da Microsoft Ireland Operations Limited poderá ser contatado no seguinte endereço:</w:t>
      </w:r>
    </w:p>
    <w:p w:rsidR="00F77036" w:rsidRPr="00B810D0" w:rsidRDefault="00F77036" w:rsidP="0088164F">
      <w:pPr>
        <w:pStyle w:val="ProductList-Body"/>
        <w:spacing w:before="120"/>
        <w:ind w:left="187"/>
      </w:pPr>
      <w:r>
        <w:rPr>
          <w:b/>
        </w:rPr>
        <w:t>Microsoft Ireland Operations, Ltd.</w:t>
      </w:r>
    </w:p>
    <w:p w:rsidR="00F77036" w:rsidRPr="00B810D0" w:rsidRDefault="00F77036" w:rsidP="00F77036">
      <w:pPr>
        <w:pStyle w:val="ProductList-Body"/>
        <w:ind w:left="180"/>
      </w:pPr>
      <w:r>
        <w:t>Attn: Proteção de Dados</w:t>
      </w:r>
    </w:p>
    <w:p w:rsidR="00F77036" w:rsidRPr="00B810D0" w:rsidRDefault="00F77036" w:rsidP="00F77036">
      <w:pPr>
        <w:pStyle w:val="ProductList-Body"/>
        <w:ind w:left="180"/>
      </w:pPr>
      <w:r>
        <w:t>Carmenhall Road</w:t>
      </w:r>
    </w:p>
    <w:p w:rsidR="000E6ED8" w:rsidRPr="00B810D0" w:rsidRDefault="00F77036" w:rsidP="00F77036">
      <w:pPr>
        <w:pStyle w:val="ProductList-Body"/>
        <w:ind w:left="180"/>
      </w:pPr>
      <w:r>
        <w:t>Sandyford, Dublin 18, Irlanda</w:t>
      </w:r>
    </w:p>
    <w:p w:rsidR="00366C8E" w:rsidRPr="00B810D0" w:rsidRDefault="00366C8E" w:rsidP="00366C8E">
      <w:pPr>
        <w:pStyle w:val="ProductList-Body"/>
      </w:pPr>
    </w:p>
    <w:p w:rsidR="000E6ED8" w:rsidRPr="00B810D0" w:rsidRDefault="00F77036" w:rsidP="00233C87">
      <w:pPr>
        <w:pStyle w:val="ProductList-Offering2Heading"/>
        <w:outlineLvl w:val="1"/>
      </w:pPr>
      <w:bookmarkStart w:id="42" w:name="_Toc391645801"/>
      <w:r>
        <w:t>Termos de Processamento de Dados</w:t>
      </w:r>
      <w:bookmarkEnd w:id="42"/>
    </w:p>
    <w:p w:rsidR="00F77036" w:rsidRPr="00B810D0" w:rsidRDefault="00F77036" w:rsidP="00F824AC">
      <w:pPr>
        <w:pStyle w:val="ProductList-Body"/>
        <w:spacing w:after="120"/>
      </w:pPr>
      <w:r>
        <w:t>Os Termos de Processamento de Dados (DPT) incluem os termos desta seção.</w:t>
      </w:r>
    </w:p>
    <w:p w:rsidR="00F77036" w:rsidRPr="00B810D0" w:rsidRDefault="00F77036" w:rsidP="00F77036">
      <w:pPr>
        <w:pStyle w:val="ProductList-Body"/>
      </w:pPr>
      <w:r>
        <w:t>Os Termos de Processamento de Dados também incluem as “Cláusulas Contratuais Padrão” relativas à Decisão da Comissão Europeia de 5</w:t>
      </w:r>
      <w:r w:rsidR="008B3F5F">
        <w:t> </w:t>
      </w:r>
      <w:r>
        <w:t>de</w:t>
      </w:r>
      <w:r w:rsidR="008B3F5F">
        <w:t> </w:t>
      </w:r>
      <w:r>
        <w:t>fevereiro de 2010 sobre as cláusulas contratuais padrão para a transferência de dados pessoais a processadores estabelecidos em países terceiros</w:t>
      </w:r>
      <w:r w:rsidR="008B3F5F">
        <w:t> </w:t>
      </w:r>
      <w:r>
        <w:t xml:space="preserve">de acordo com a Diretiva de Proteção de Dados da União Europeia. As Cláusulas Contratuais Padrão estão no </w:t>
      </w:r>
      <w:hyperlink w:anchor="Attachment3" w:history="1">
        <w:r>
          <w:rPr>
            <w:rStyle w:val="Hyperlink"/>
          </w:rPr>
          <w:t>Anexo 3</w:t>
        </w:r>
      </w:hyperlink>
      <w:r>
        <w:t>. Além disso,</w:t>
      </w:r>
    </w:p>
    <w:p w:rsidR="00F77036" w:rsidRPr="00B810D0"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rsidR="00F77036" w:rsidRPr="00B810D0"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rsidR="00F77036" w:rsidRPr="00B810D0"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rsidR="00F77036" w:rsidRPr="00B810D0"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rsidR="00F77036" w:rsidRPr="00B810D0" w:rsidRDefault="00F77036" w:rsidP="00A44A41">
      <w:pPr>
        <w:pStyle w:val="ProductList-Body"/>
        <w:numPr>
          <w:ilvl w:val="0"/>
          <w:numId w:val="5"/>
        </w:numPr>
        <w:ind w:left="450" w:hanging="270"/>
      </w:pPr>
      <w:r>
        <w:t>a razão social completa do Cliente e de qualquer Afiliada que estiver recusando as cláusulas;</w:t>
      </w:r>
    </w:p>
    <w:p w:rsidR="00F77036" w:rsidRPr="00B810D0" w:rsidRDefault="00F77036" w:rsidP="0088164F">
      <w:pPr>
        <w:pStyle w:val="ProductList-Body"/>
        <w:numPr>
          <w:ilvl w:val="0"/>
          <w:numId w:val="5"/>
        </w:numPr>
        <w:spacing w:before="40"/>
        <w:ind w:left="450" w:hanging="270"/>
      </w:pPr>
      <w:r>
        <w:t>Se o Cliente tiver vários contratos de licenciamento por volume, o contrato de licenciamento por volume ao qual a recusa das cláusulas se</w:t>
      </w:r>
      <w:r w:rsidR="00316D67">
        <w:t> </w:t>
      </w:r>
      <w:r>
        <w:t xml:space="preserve">aplica; </w:t>
      </w:r>
    </w:p>
    <w:p w:rsidR="00F77036" w:rsidRPr="00B810D0"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rsidR="00F77036" w:rsidRPr="00B810D0"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rsidR="00F77036" w:rsidRPr="00B810D0"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rsidR="000E6ED8" w:rsidRPr="00B810D0" w:rsidRDefault="00F77036" w:rsidP="00F824AC">
      <w:pPr>
        <w:pStyle w:val="ProductList-Body"/>
      </w:pPr>
      <w:r>
        <w:rPr>
          <w:b/>
        </w:rPr>
        <w:t>Nos DPT, o termo “Serviços Online” aplica-se apenas aos serviços contidos na tabela a seguir, excluindo todos os recursos de Visualização ou</w:t>
      </w:r>
      <w:r w:rsidR="008B3F5F">
        <w:rPr>
          <w:b/>
        </w:rPr>
        <w:t> </w:t>
      </w:r>
      <w:r>
        <w:rPr>
          <w:b/>
        </w:rPr>
        <w:t>serviços, e “Dados do Cliente” inclui apenas os Dados do Cliente fornecidos por meio do uso desses Serviços Online.</w:t>
      </w:r>
    </w:p>
    <w:p w:rsidR="000E6ED8" w:rsidRPr="00B810D0"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0B2305">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Serviço Online</w:t>
            </w:r>
          </w:p>
        </w:tc>
      </w:tr>
      <w:tr w:rsidR="00256427" w:rsidTr="000B2305">
        <w:tc>
          <w:tcPr>
            <w:tcW w:w="2610" w:type="dxa"/>
            <w:vAlign w:val="center"/>
          </w:tcPr>
          <w:p w:rsidR="00256427" w:rsidRDefault="00256427" w:rsidP="00316D67">
            <w:pPr>
              <w:pStyle w:val="ProductList-Body"/>
            </w:pPr>
            <w:r>
              <w:t>Serviços Online do Dynamics</w:t>
            </w:r>
            <w:r w:rsidR="00316D67">
              <w:t> </w:t>
            </w:r>
            <w:r>
              <w:t>CRM</w:t>
            </w:r>
          </w:p>
        </w:tc>
        <w:tc>
          <w:tcPr>
            <w:tcW w:w="8190" w:type="dxa"/>
          </w:tcPr>
          <w:p w:rsidR="00256427" w:rsidRDefault="00256427" w:rsidP="008E1EAF">
            <w:pPr>
              <w:pStyle w:val="ProductList-Body"/>
            </w:pPr>
            <w:r>
              <w:t>Os serviços do Dynamics CRM Online disponibilizados por meio do licenciamento por volume ou pelo portal de serviços online da Microsoft, excluindo (1) o Dynamics CRM para dispositivos com suporte, que inclui, entre outros, os serviços Dynamics CRM Online para tablets e/ou smartphones e (2) todos os serviços de outras marcas disponibilizados com ou em conexão com o Dynamics CRM Online, como o Microsoft Social Listening e o Microsoft Dynamics Marketing.</w:t>
            </w:r>
          </w:p>
        </w:tc>
      </w:tr>
      <w:tr w:rsidR="00256427" w:rsidTr="000B2305">
        <w:tc>
          <w:tcPr>
            <w:tcW w:w="2610" w:type="dxa"/>
            <w:vAlign w:val="center"/>
          </w:tcPr>
          <w:p w:rsidR="00256427" w:rsidRDefault="00256427" w:rsidP="003B7142">
            <w:pPr>
              <w:pStyle w:val="ProductList-Body"/>
            </w:pPr>
            <w:r>
              <w:t>Serviços do Office 365</w:t>
            </w:r>
          </w:p>
        </w:tc>
        <w:tc>
          <w:tcPr>
            <w:tcW w:w="8190" w:type="dxa"/>
          </w:tcPr>
          <w:p w:rsidR="00256427" w:rsidRPr="00B810D0" w:rsidRDefault="00256427" w:rsidP="008E1EAF">
            <w:pPr>
              <w:pStyle w:val="ProductList-Body"/>
            </w:pPr>
            <w:r>
              <w:t>1. Exchange Online, Exchange Online Archiving, SharePoint Online, OneDrive for Business, Lync Online e</w:t>
            </w:r>
            <w:r w:rsidR="008B3F5F">
              <w:t> </w:t>
            </w:r>
            <w:r>
              <w:t xml:space="preserve">Office Online incluídos no Office 365 Enterprise Planos E1, E2, E3, E4, K1 e K2 e </w:t>
            </w:r>
          </w:p>
          <w:p w:rsidR="00256427" w:rsidRDefault="00256427" w:rsidP="008B3F5F">
            <w:pPr>
              <w:pStyle w:val="ProductList-Body"/>
            </w:pPr>
            <w:r>
              <w:t>2. Exchange Online Planos 1, 2, Basic e Quiosque; SharePoint Online Planos 1, 2 e Quiosque; OneDrive for Business, Office Online Planos 1 e 2 e Lync Online Planos 1, 2 e 3. Os Serviços do Office 365 não incluem o</w:t>
            </w:r>
            <w:r w:rsidR="008B3F5F">
              <w:t> </w:t>
            </w:r>
            <w:r>
              <w:t>Office 365 ProPlus nem serviços de outras marcas disponibilizados com um plano ou pacote Office 365, como o serviço Bing ou Yammer ou um serviço com a marca “para Office 365”.</w:t>
            </w:r>
          </w:p>
        </w:tc>
      </w:tr>
      <w:tr w:rsidR="00256427" w:rsidTr="000B2305">
        <w:tc>
          <w:tcPr>
            <w:tcW w:w="2610" w:type="dxa"/>
            <w:vAlign w:val="center"/>
          </w:tcPr>
          <w:p w:rsidR="00256427" w:rsidRDefault="00256427" w:rsidP="00316D67">
            <w:pPr>
              <w:pStyle w:val="ProductList-Body"/>
            </w:pPr>
            <w:r>
              <w:t>Serviços Principais do Microsoft</w:t>
            </w:r>
            <w:r w:rsidR="00316D67">
              <w:t> </w:t>
            </w:r>
            <w:r>
              <w:t>Azure</w:t>
            </w:r>
          </w:p>
        </w:tc>
        <w:tc>
          <w:tcPr>
            <w:tcW w:w="8190" w:type="dxa"/>
          </w:tcPr>
          <w:p w:rsidR="00256427" w:rsidRDefault="00256427" w:rsidP="008E1EAF">
            <w:pPr>
              <w:pStyle w:val="ProductList-Body"/>
            </w:pPr>
            <w:r>
              <w:t>Serviços de Nuvem (funções Web e de trabalho), Máquinas Virtuais (incluindo o SQL Server), Armazenamento (Blobs, Tablets, Filas), Rede Virtual, Gerenciador de Tráfego, Sites, Serviços BizTalk, Serviços de Mídia, Serviços Móveis, Barramento de Serviço, Multi-Factor Authentication, Active Directory, Serviço de Gerenciamento de Direitos, Banco de Dados SQL e todos os outros recursos identificados como incluídos na Central de Confiabilidade do Microsoft Azure.</w:t>
            </w:r>
          </w:p>
        </w:tc>
      </w:tr>
      <w:tr w:rsidR="00256427" w:rsidTr="000B2305">
        <w:tc>
          <w:tcPr>
            <w:tcW w:w="2610" w:type="dxa"/>
            <w:vAlign w:val="center"/>
          </w:tcPr>
          <w:p w:rsidR="00256427" w:rsidRDefault="00256427" w:rsidP="00316D67">
            <w:pPr>
              <w:pStyle w:val="ProductList-Body"/>
            </w:pPr>
            <w:r>
              <w:t>Serviços Online do Windows</w:t>
            </w:r>
            <w:r w:rsidR="00316D67">
              <w:t> </w:t>
            </w:r>
            <w:r>
              <w:t>Intune</w:t>
            </w:r>
          </w:p>
        </w:tc>
        <w:tc>
          <w:tcPr>
            <w:tcW w:w="8190" w:type="dxa"/>
          </w:tcPr>
          <w:p w:rsidR="00256427" w:rsidRDefault="00256427" w:rsidP="008B3F5F">
            <w:pPr>
              <w:pStyle w:val="ProductList-Body"/>
            </w:pPr>
            <w:r>
              <w:t>A parte do serviço de nuvem do Windows Intune como o Produto Complementar do Windows Intune (SKU</w:t>
            </w:r>
            <w:r w:rsidR="008B3F5F">
              <w:t> </w:t>
            </w:r>
            <w:r>
              <w:t>de Licenciamento por Volume número U7U-00007). Ele não inclui nenhum software local disponibilizado com uma assinatura do Windows Intune.</w:t>
            </w:r>
          </w:p>
        </w:tc>
      </w:tr>
    </w:tbl>
    <w:p w:rsidR="000E6ED8" w:rsidRPr="00B810D0" w:rsidRDefault="000E6ED8" w:rsidP="00A914BF">
      <w:pPr>
        <w:pStyle w:val="ProductList-Body"/>
      </w:pPr>
    </w:p>
    <w:p w:rsidR="00086F17" w:rsidRPr="00B810D0" w:rsidRDefault="00086F17" w:rsidP="00233C87">
      <w:pPr>
        <w:pStyle w:val="ProductList-SubSubSectionHeading"/>
        <w:outlineLvl w:val="2"/>
      </w:pPr>
      <w:bookmarkStart w:id="43" w:name="_Toc391645802"/>
      <w:r>
        <w:t>Local dos Dados do Cliente em Repouso</w:t>
      </w:r>
      <w:bookmarkEnd w:id="43"/>
    </w:p>
    <w:p w:rsidR="00086F17" w:rsidRPr="00B810D0" w:rsidRDefault="00086F17" w:rsidP="00086F17">
      <w:pPr>
        <w:pStyle w:val="ProductList-Body"/>
      </w:pPr>
      <w:r>
        <w:t>A Microsoft armazenará os Dados do Cliente em repouso em determinadas áreas geográficas importantes (individualmente, Área Geográfica) da seguinte forma:</w:t>
      </w:r>
    </w:p>
    <w:p w:rsidR="00086F17" w:rsidRPr="00B810D0" w:rsidRDefault="00086F17" w:rsidP="00A44A41">
      <w:pPr>
        <w:pStyle w:val="ProductList-Body"/>
        <w:numPr>
          <w:ilvl w:val="0"/>
          <w:numId w:val="6"/>
        </w:numPr>
        <w:ind w:left="450" w:hanging="270"/>
      </w:pPr>
      <w:r>
        <w:rPr>
          <w:b/>
        </w:rPr>
        <w:t>Serviços do Office 365</w:t>
      </w:r>
      <w:r w:rsidRPr="00F20BE4">
        <w:rPr>
          <w:b/>
        </w:rPr>
        <w:t>.</w:t>
      </w:r>
      <w:r>
        <w:t xml:space="preserve"> Se o Cliente provisionar seu locatário nos Estados Unidos ou na União Europeia, a Microsoft armazenará nessa Área Geográfica os seguintes Dados do Cliente em repouso: (1) conteúdo da caixa de correio do Exchange Online (corpo do email, entradas do calendário e o conteúdo dos anexos de email) e (2) conteúdo do site do SharePoint Online e os arquivos armazenados nesse site.</w:t>
      </w:r>
    </w:p>
    <w:p w:rsidR="00086F17" w:rsidRPr="00B810D0" w:rsidRDefault="00086F17" w:rsidP="00A44A41">
      <w:pPr>
        <w:pStyle w:val="ProductList-Body"/>
        <w:numPr>
          <w:ilvl w:val="0"/>
          <w:numId w:val="6"/>
        </w:numPr>
        <w:ind w:left="450" w:hanging="270"/>
      </w:pPr>
      <w:r>
        <w:rPr>
          <w:b/>
        </w:rPr>
        <w:t>Serviços Online do Windows Intune</w:t>
      </w:r>
      <w:r w:rsidRPr="00F20BE4">
        <w:rPr>
          <w:b/>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Windows Intune.</w:t>
      </w:r>
    </w:p>
    <w:p w:rsidR="00086F17" w:rsidRPr="00B810D0" w:rsidRDefault="00086F17" w:rsidP="00A44A41">
      <w:pPr>
        <w:pStyle w:val="ProductList-Body"/>
        <w:numPr>
          <w:ilvl w:val="0"/>
          <w:numId w:val="6"/>
        </w:numPr>
        <w:ind w:left="450" w:hanging="270"/>
      </w:pPr>
      <w:r>
        <w:rPr>
          <w:b/>
        </w:rPr>
        <w:t>Serviços Principais do Microsoft Azure</w:t>
      </w:r>
      <w:r w:rsidRPr="00F20BE4">
        <w:rPr>
          <w:b/>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rsidR="00086F17" w:rsidRPr="00B810D0" w:rsidRDefault="00086F17" w:rsidP="000B2305">
      <w:pPr>
        <w:pStyle w:val="ProductList-Body"/>
        <w:numPr>
          <w:ilvl w:val="0"/>
          <w:numId w:val="6"/>
        </w:numPr>
        <w:spacing w:after="120"/>
        <w:ind w:left="461" w:hanging="274"/>
      </w:pPr>
      <w:r>
        <w:rPr>
          <w:b/>
        </w:rPr>
        <w:t>Dynamics CRM Online Services</w:t>
      </w:r>
      <w:r>
        <w:t>. Para entidades gerenciadas pelo Dynamics CRM Online Service, se o Cliente provisionar seu locatário nos Estados Unidos ou na União Europeia, a Microsoft armazenará os Dados do Cliente em repouso nos Estados Unidos ou na União Europeia, conforme aplicável.</w:t>
      </w:r>
    </w:p>
    <w:p w:rsidR="00086F17" w:rsidRPr="00316D67" w:rsidRDefault="00086F17" w:rsidP="00086F17">
      <w:pPr>
        <w:pStyle w:val="ProductList-Body"/>
        <w:rPr>
          <w:spacing w:val="-1"/>
        </w:rPr>
      </w:pPr>
      <w:r w:rsidRPr="00316D67">
        <w:rPr>
          <w:spacing w:val="-1"/>
        </w:rPr>
        <w:t>A Microsoft não controla nem limita as regiões das quais o Cliente ou os seus respectivos usuários finais possam acessar ou mover Dados do Cliente.</w:t>
      </w:r>
    </w:p>
    <w:p w:rsidR="00086F17" w:rsidRPr="00316D67" w:rsidRDefault="00086F17" w:rsidP="00086F17">
      <w:pPr>
        <w:pStyle w:val="ProductList-Body"/>
        <w:rPr>
          <w:sz w:val="14"/>
          <w:szCs w:val="14"/>
        </w:rPr>
      </w:pPr>
    </w:p>
    <w:p w:rsidR="00086F17" w:rsidRPr="00B810D0" w:rsidRDefault="00086F17" w:rsidP="00233C87">
      <w:pPr>
        <w:pStyle w:val="ProductList-SubSubSectionHeading"/>
        <w:outlineLvl w:val="2"/>
      </w:pPr>
      <w:bookmarkStart w:id="44" w:name="_Toc391645803"/>
      <w:r>
        <w:t>Privacidade</w:t>
      </w:r>
      <w:bookmarkEnd w:id="44"/>
    </w:p>
    <w:p w:rsidR="00086F17" w:rsidRPr="00B810D0" w:rsidRDefault="00086F17" w:rsidP="00A44A41">
      <w:pPr>
        <w:pStyle w:val="ProductList-Body"/>
        <w:numPr>
          <w:ilvl w:val="0"/>
          <w:numId w:val="7"/>
        </w:numPr>
        <w:ind w:left="450" w:hanging="270"/>
      </w:pPr>
      <w:r>
        <w:rPr>
          <w:b/>
        </w:rPr>
        <w:t>Exclusão ou Devolução de Dados do Cliente</w:t>
      </w:r>
      <w:r w:rsidRPr="00316D67">
        <w:rPr>
          <w:b/>
        </w:rPr>
        <w:t>.</w:t>
      </w:r>
      <w:r>
        <w:t xml:space="preserve"> No máximo, 180 dias após o término ou a rescisão do uso de um Serviço Online por parte do Cliente, a Microsoft desabilitará a conta e excluirá dela os Dados do Cliente. </w:t>
      </w:r>
    </w:p>
    <w:p w:rsidR="00086F17" w:rsidRPr="00B810D0" w:rsidRDefault="00086F17" w:rsidP="00A44A41">
      <w:pPr>
        <w:pStyle w:val="ProductList-Body"/>
        <w:numPr>
          <w:ilvl w:val="0"/>
          <w:numId w:val="7"/>
        </w:numPr>
        <w:ind w:left="450" w:hanging="270"/>
      </w:pPr>
      <w:r>
        <w:rPr>
          <w:b/>
        </w:rPr>
        <w:t>Transferência dos Dados do Cliente</w:t>
      </w:r>
      <w:r w:rsidRPr="00316D67">
        <w:rPr>
          <w:b/>
        </w:rPr>
        <w:t>.</w:t>
      </w:r>
      <w:r>
        <w:t xml:space="preserve"> A Microsoft, durante o prazo designado pelo contrato de licenciamento por volume do Cliente, permanecerá certificada de acordo com os programas </w:t>
      </w:r>
      <w:r w:rsidR="006573C2">
        <w:t>“</w:t>
      </w:r>
      <w:r>
        <w:t>Safe Harbor</w:t>
      </w:r>
      <w:r w:rsidR="006573C2">
        <w:t>”</w:t>
      </w:r>
      <w:r>
        <w:t xml:space="preserve"> (Porto Seguro) da União Europeia e da Suíça, desde que eles sejam mantidos pelo governo dos Estados Unidos. Além disso, a menos que o Cliente tenha recusado as Cláusulas Contratuais Padrão, todas as transferências dos Dados do Cliente para fora da União Europeia, da Área Econômica Europeia e da Suíça serão regidas pelas Cláusulas Contratuais Padrão.</w:t>
      </w:r>
    </w:p>
    <w:p w:rsidR="00086F17" w:rsidRPr="00B810D0" w:rsidRDefault="00086F17" w:rsidP="00A44A41">
      <w:pPr>
        <w:pStyle w:val="ProductList-Body"/>
        <w:numPr>
          <w:ilvl w:val="0"/>
          <w:numId w:val="7"/>
        </w:numPr>
        <w:ind w:left="450" w:hanging="270"/>
      </w:pPr>
      <w:r>
        <w:rPr>
          <w:b/>
        </w:rPr>
        <w:t>Pessoal da Microsoft</w:t>
      </w:r>
      <w:r w:rsidRPr="00316D67">
        <w:rPr>
          <w:b/>
        </w:rPr>
        <w:t>.</w:t>
      </w:r>
      <w:r>
        <w:t xml:space="preserve"> O pessoal da Microsoft não processará os Dados do Cliente sem autorização do Cliente. O pessoal da Microsoft é</w:t>
      </w:r>
      <w:r w:rsidR="00643157">
        <w:t> </w:t>
      </w:r>
      <w:r>
        <w:t>obrigado a manter a segurança e a privacidade dos Dados do Cliente, conforme fornecido nos DPT, e essa obrigação permanece válida mesmo após o término das suas contratações.</w:t>
      </w:r>
    </w:p>
    <w:p w:rsidR="00086F17" w:rsidRPr="00B810D0" w:rsidRDefault="00086F17" w:rsidP="00A44A41">
      <w:pPr>
        <w:pStyle w:val="ProductList-Body"/>
        <w:numPr>
          <w:ilvl w:val="0"/>
          <w:numId w:val="7"/>
        </w:numPr>
        <w:ind w:left="450" w:hanging="270"/>
      </w:pPr>
      <w:r>
        <w:rPr>
          <w:b/>
        </w:rPr>
        <w:t>Transferência de Subcontratados</w:t>
      </w:r>
      <w:r w:rsidRPr="00316D67">
        <w:rPr>
          <w:b/>
        </w:rPr>
        <w:t>.</w:t>
      </w:r>
      <w:r>
        <w:t xml:space="preserv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Cada Serviço Online tem um site que lista os subcontratados que estão autorizados a acessar Dados do Cliente. Pelo menos, 14 dias antes de autorizar qualquer novo subcontratado a acessar os Dados do Cliente, a</w:t>
      </w:r>
      <w:r w:rsidR="00643157">
        <w:t> </w:t>
      </w:r>
      <w:r>
        <w:t>Microsoft atualizará o site aplicável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p>
    <w:p w:rsidR="00086F17" w:rsidRPr="00316D67" w:rsidRDefault="00086F17" w:rsidP="00086F17">
      <w:pPr>
        <w:pStyle w:val="ProductList-Body"/>
        <w:rPr>
          <w:sz w:val="14"/>
          <w:szCs w:val="14"/>
        </w:rPr>
      </w:pPr>
    </w:p>
    <w:p w:rsidR="00086F17" w:rsidRPr="00B810D0" w:rsidRDefault="00086F17" w:rsidP="00233C87">
      <w:pPr>
        <w:pStyle w:val="ProductList-SubSubSectionHeading"/>
        <w:outlineLvl w:val="2"/>
      </w:pPr>
      <w:bookmarkStart w:id="45" w:name="_Toc391645804"/>
      <w:r>
        <w:t>Termos Europeus Adicionais.</w:t>
      </w:r>
      <w:bookmarkEnd w:id="45"/>
    </w:p>
    <w:p w:rsidR="00086F17" w:rsidRPr="00B810D0" w:rsidRDefault="00086F17" w:rsidP="00086F17">
      <w:pPr>
        <w:pStyle w:val="ProductList-Body"/>
      </w:pPr>
      <w:r>
        <w:t>Os Termos Europeus Adicionais serão aplicados apenas se o Cliente tiver usuários finais na Área Econômica Europeia (“EEA”) ou na Suíça.</w:t>
      </w:r>
    </w:p>
    <w:p w:rsidR="00086F17" w:rsidRPr="00B810D0" w:rsidRDefault="00086F17" w:rsidP="00A44A41">
      <w:pPr>
        <w:pStyle w:val="ProductList-Body"/>
        <w:numPr>
          <w:ilvl w:val="0"/>
          <w:numId w:val="8"/>
        </w:numPr>
        <w:ind w:left="450" w:hanging="270"/>
      </w:pPr>
      <w:r>
        <w:rPr>
          <w:b/>
        </w:rPr>
        <w:t>Usuários Finais na EEA ou na Suíça</w:t>
      </w:r>
      <w:r w:rsidRPr="00316D67">
        <w:rPr>
          <w:b/>
        </w:rPr>
        <w:t>.</w:t>
      </w:r>
      <w:r>
        <w:t xml:space="preserve"> Os termos usados, mas não definidos especificamente nos DPT terão o significado previsto na Diretiva 95/46/EC do Parlamento Europeu e do Conselho de 24 de outubro de 1995 sobre a proteção de indivíduos em relação ao processamento de</w:t>
      </w:r>
      <w:r w:rsidR="00643157">
        <w:t> </w:t>
      </w:r>
      <w:r>
        <w:t>dados pessoais e sobre a livre movimentação de tais dados (“Diretiva de Proteção de Dados da União Europeia”).</w:t>
      </w:r>
    </w:p>
    <w:p w:rsidR="00086F17" w:rsidRPr="00B810D0" w:rsidRDefault="00086F17" w:rsidP="00A44A41">
      <w:pPr>
        <w:pStyle w:val="ProductList-Body"/>
        <w:numPr>
          <w:ilvl w:val="0"/>
          <w:numId w:val="8"/>
        </w:numPr>
        <w:ind w:left="450" w:hanging="270"/>
      </w:pPr>
      <w:r>
        <w:rPr>
          <w:b/>
        </w:rPr>
        <w:t>Intenção das Partes</w:t>
      </w:r>
      <w:r w:rsidRPr="00316D67">
        <w:rPr>
          <w:b/>
        </w:rPr>
        <w:t>.</w:t>
      </w:r>
      <w:r>
        <w:t xml:space="preserve"> Para os Serviços Online, a Microsoft é o processador de dados (ou subprocessador) que atua em nome do Cliente. Na condição de processador de dados (ou subprocessador), a Microsoft atuará somente conforme as instruções do Cliente. Os OSTs e o contrato de licenciamento por volume do Cliente (inclusive os termos e as condições incorporados aqui por referência) são as instruções definitivas e</w:t>
      </w:r>
      <w:r w:rsidR="00643157">
        <w:t> </w:t>
      </w:r>
      <w:r>
        <w:t>integrais do Cliente para a Microsoft relativas ao processamento de Dados do Cliente. Quaisquer instruções adicionais ou alternativas deverão ser acordadas de acordo com o processo de alteração do contrato de licenciamento por volume do Cliente.</w:t>
      </w:r>
    </w:p>
    <w:p w:rsidR="00086F17" w:rsidRPr="00B810D0" w:rsidRDefault="00086F17" w:rsidP="00A44A41">
      <w:pPr>
        <w:pStyle w:val="ProductList-Body"/>
        <w:numPr>
          <w:ilvl w:val="0"/>
          <w:numId w:val="8"/>
        </w:numPr>
        <w:ind w:left="450" w:hanging="270"/>
      </w:pPr>
      <w:r>
        <w:rPr>
          <w:b/>
        </w:rPr>
        <w:t>Duração e Objeto do Processamento de Dados</w:t>
      </w:r>
      <w:r w:rsidRPr="00316D67">
        <w:rPr>
          <w:b/>
        </w:rPr>
        <w:t xml:space="preserve">. </w:t>
      </w:r>
      <w:r>
        <w:t>A duração do processamento de dados será o prazo designado pelo contrato de licenciamento por volume do Cliente. O objeto do processamento de dados é o desempenho dos Serviços Online.</w:t>
      </w:r>
    </w:p>
    <w:p w:rsidR="00086F17" w:rsidRPr="00B810D0" w:rsidRDefault="00086F17" w:rsidP="00A44A41">
      <w:pPr>
        <w:pStyle w:val="ProductList-Body"/>
        <w:numPr>
          <w:ilvl w:val="0"/>
          <w:numId w:val="8"/>
        </w:numPr>
        <w:ind w:left="450" w:hanging="270"/>
      </w:pPr>
      <w:r>
        <w:rPr>
          <w:b/>
        </w:rPr>
        <w:t>Escopo e Finalidade do Processamento de Dados</w:t>
      </w:r>
      <w:r w:rsidRPr="00316D67">
        <w:rPr>
          <w:b/>
        </w:rPr>
        <w:t>.</w:t>
      </w:r>
      <w:r>
        <w:t xml:space="preserve"> O escopo e a finalidade do processamento dos Dados do Cliente, inclusive dados pessoais neles incluídos, estão descritos nos DPT e no contrato de licenciamento por volume do Cliente.</w:t>
      </w:r>
    </w:p>
    <w:p w:rsidR="00086F17" w:rsidRPr="00B810D0" w:rsidRDefault="00086F17" w:rsidP="00A44A41">
      <w:pPr>
        <w:pStyle w:val="ProductList-Body"/>
        <w:numPr>
          <w:ilvl w:val="0"/>
          <w:numId w:val="8"/>
        </w:numPr>
        <w:ind w:left="450" w:hanging="270"/>
      </w:pPr>
      <w:r>
        <w:rPr>
          <w:b/>
        </w:rPr>
        <w:t>Acesso aos Dados do Cliente</w:t>
      </w:r>
      <w:r w:rsidRPr="00316D67">
        <w:rPr>
          <w:b/>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w:t>
      </w:r>
      <w:r w:rsidR="00316D67">
        <w:t> </w:t>
      </w:r>
      <w:r>
        <w:t xml:space="preserve">fornecer ao Cliente a capacidade de corrigir, excluir ou bloquear os Dados do Cliente ou (2) fazer tais correções, exclusões ou bloqueios em nome do Cliente. </w:t>
      </w:r>
    </w:p>
    <w:p w:rsidR="00086F17" w:rsidRPr="00316D67" w:rsidRDefault="00086F17" w:rsidP="00086F17">
      <w:pPr>
        <w:pStyle w:val="ProductList-Body"/>
        <w:rPr>
          <w:sz w:val="14"/>
          <w:szCs w:val="14"/>
        </w:rPr>
      </w:pPr>
    </w:p>
    <w:p w:rsidR="00086F17" w:rsidRPr="00B810D0" w:rsidRDefault="00086F17" w:rsidP="00233C87">
      <w:pPr>
        <w:pStyle w:val="ProductList-SubSubSectionHeading"/>
        <w:outlineLvl w:val="2"/>
      </w:pPr>
      <w:bookmarkStart w:id="46" w:name="_Toc391645805"/>
      <w:r>
        <w:t>Segurança</w:t>
      </w:r>
      <w:bookmarkEnd w:id="46"/>
    </w:p>
    <w:p w:rsidR="000E6ED8" w:rsidRPr="00B810D0" w:rsidRDefault="007303AE" w:rsidP="003B7142">
      <w:pPr>
        <w:pStyle w:val="ProductList-Body"/>
        <w:numPr>
          <w:ilvl w:val="0"/>
          <w:numId w:val="25"/>
        </w:numPr>
        <w:ind w:left="450" w:hanging="270"/>
      </w:pPr>
      <w:r>
        <w:rPr>
          <w:b/>
        </w:rPr>
        <w:t>Práticas Gerais</w:t>
      </w:r>
      <w:r w:rsidRPr="00D361CE">
        <w:rPr>
          <w:b/>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rsidR="00086F17" w:rsidRPr="00316D67" w:rsidRDefault="00086F17" w:rsidP="00A914BF">
      <w:pPr>
        <w:pStyle w:val="ProductList-Body"/>
        <w:rPr>
          <w:sz w:val="14"/>
          <w:szCs w:val="14"/>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0B2305">
        <w:trPr>
          <w:tblHeader/>
        </w:trPr>
        <w:tc>
          <w:tcPr>
            <w:tcW w:w="261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Domínio</w:t>
            </w:r>
          </w:p>
        </w:tc>
        <w:tc>
          <w:tcPr>
            <w:tcW w:w="81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Práticas</w:t>
            </w:r>
          </w:p>
        </w:tc>
      </w:tr>
      <w:tr w:rsidR="00086F17" w:rsidTr="000B2305">
        <w:tc>
          <w:tcPr>
            <w:tcW w:w="2610" w:type="dxa"/>
            <w:vAlign w:val="center"/>
          </w:tcPr>
          <w:p w:rsidR="00086F17" w:rsidRDefault="00086F17" w:rsidP="007303AE">
            <w:pPr>
              <w:pStyle w:val="ProductList-Body"/>
            </w:pPr>
            <w:r>
              <w:t>Organização da Segurança das Informações</w:t>
            </w:r>
          </w:p>
        </w:tc>
        <w:tc>
          <w:tcPr>
            <w:tcW w:w="8190" w:type="dxa"/>
          </w:tcPr>
          <w:p w:rsidR="009C6951" w:rsidRPr="00B810D0" w:rsidRDefault="009C6951" w:rsidP="009C6951">
            <w:pPr>
              <w:pStyle w:val="ProductList-Body"/>
            </w:pPr>
            <w:r>
              <w:rPr>
                <w:b/>
              </w:rPr>
              <w:t>Propriedade da Segurança</w:t>
            </w:r>
            <w:r w:rsidRPr="00316D67">
              <w:rPr>
                <w:b/>
              </w:rPr>
              <w:t>.</w:t>
            </w:r>
            <w:r>
              <w:t xml:space="preserve"> A Microsoft indicou um ou mais agentes de segurança responsáveis pela coordenação e pelo monitoramento das regras e dos procedimentos de segurança.</w:t>
            </w:r>
          </w:p>
          <w:p w:rsidR="009C6951" w:rsidRPr="00B810D0" w:rsidRDefault="009C6951" w:rsidP="0088164F">
            <w:pPr>
              <w:pStyle w:val="ProductList-Body"/>
              <w:spacing w:before="40"/>
            </w:pPr>
            <w:r>
              <w:rPr>
                <w:b/>
              </w:rPr>
              <w:t>Funções e Responsabilidades de Segurança</w:t>
            </w:r>
            <w:r w:rsidRPr="00316D67">
              <w:rPr>
                <w:b/>
              </w:rPr>
              <w:t>.</w:t>
            </w:r>
            <w:r>
              <w:t xml:space="preserve"> O pessoal da Microsoft com acesso aos Dados do Cliente estão sujeitos a obrigações de confidencialidade.</w:t>
            </w:r>
          </w:p>
          <w:p w:rsidR="009C6951" w:rsidRPr="00B810D0" w:rsidRDefault="009C6951" w:rsidP="0088164F">
            <w:pPr>
              <w:pStyle w:val="ProductList-Body"/>
              <w:spacing w:before="40"/>
            </w:pPr>
            <w:r>
              <w:rPr>
                <w:b/>
              </w:rPr>
              <w:t>Programa de Gerenciamento de Riscos</w:t>
            </w:r>
            <w:r w:rsidRPr="00316D67">
              <w:rPr>
                <w:b/>
              </w:rPr>
              <w:t>.</w:t>
            </w:r>
            <w:r>
              <w:t xml:space="preserve"> A Microsoft realizou uma avaliação de riscos antes de processar os Dados do Cliente ou de iniciar o serviço dos Serviços Online.</w:t>
            </w:r>
          </w:p>
          <w:p w:rsidR="00086F17" w:rsidRDefault="009C6951" w:rsidP="009C6951">
            <w:pPr>
              <w:pStyle w:val="ProductList-Body"/>
            </w:pPr>
            <w:r>
              <w:t>A Microsoft mantém seus documentos de segurança relativos aos seus requisitos de retenção após o término da vigência.</w:t>
            </w:r>
          </w:p>
        </w:tc>
      </w:tr>
      <w:tr w:rsidR="00086F17" w:rsidTr="000B2305">
        <w:tc>
          <w:tcPr>
            <w:tcW w:w="2610" w:type="dxa"/>
            <w:vAlign w:val="center"/>
          </w:tcPr>
          <w:p w:rsidR="00086F17" w:rsidRDefault="00086F17" w:rsidP="007303AE">
            <w:pPr>
              <w:pStyle w:val="ProductList-Body"/>
            </w:pPr>
            <w:r>
              <w:t>Gerenciamento de Ativos</w:t>
            </w:r>
          </w:p>
        </w:tc>
        <w:tc>
          <w:tcPr>
            <w:tcW w:w="8190" w:type="dxa"/>
          </w:tcPr>
          <w:p w:rsidR="009C6951" w:rsidRPr="00B810D0" w:rsidRDefault="009C6951" w:rsidP="009C6951">
            <w:pPr>
              <w:pStyle w:val="ProductList-Body"/>
            </w:pPr>
            <w:r>
              <w:rPr>
                <w:b/>
              </w:rPr>
              <w:t>Inventário de Ativos</w:t>
            </w:r>
            <w:r w:rsidRPr="00316D67">
              <w:rPr>
                <w:b/>
              </w:rPr>
              <w:t>.</w:t>
            </w:r>
            <w:r>
              <w:t xml:space="preserve"> A Microsoft mantém um inventário de todas as mídias nas quais os Dados do Cliente estão armazenados. O acesso aos inventários dessas mídias é restrito ao pessoal da Microsoft autorizado por escrito a ter esse acesso.</w:t>
            </w:r>
          </w:p>
          <w:p w:rsidR="009C6951" w:rsidRPr="00B810D0" w:rsidRDefault="009C6951" w:rsidP="0088164F">
            <w:pPr>
              <w:pStyle w:val="ProductList-Body"/>
              <w:spacing w:before="40"/>
            </w:pPr>
            <w:r>
              <w:rPr>
                <w:b/>
              </w:rPr>
              <w:t>Manuseio de Ativos</w:t>
            </w:r>
          </w:p>
          <w:p w:rsidR="009C6951" w:rsidRPr="00B810D0" w:rsidRDefault="00651B74" w:rsidP="00651B74">
            <w:pPr>
              <w:pStyle w:val="ProductList-Body"/>
              <w:ind w:left="162" w:hanging="162"/>
            </w:pPr>
            <w:r>
              <w:t>-</w:t>
            </w:r>
            <w:r>
              <w:tab/>
              <w:t>A Microsoft classifica os Dados do Cliente para ajudar a identificá-los e a restringir adequadamente o</w:t>
            </w:r>
            <w:r w:rsidR="00643157">
              <w:t> </w:t>
            </w:r>
            <w:r>
              <w:t>acesso a eles.</w:t>
            </w:r>
          </w:p>
          <w:p w:rsidR="009C6951" w:rsidRPr="00B810D0" w:rsidRDefault="002A3B84" w:rsidP="00651B74">
            <w:pPr>
              <w:pStyle w:val="ProductList-Body"/>
              <w:ind w:left="162" w:hanging="162"/>
            </w:pPr>
            <w:r>
              <w:t>-</w:t>
            </w:r>
            <w:r>
              <w:tab/>
              <w:t>A Microsoft impõe restrições à impressão dos Dados do Cliente e tem procedimentos para descarte de materiais impressos que contenham Dados do Cliente.</w:t>
            </w:r>
          </w:p>
          <w:p w:rsidR="00086F17" w:rsidRDefault="009C6951" w:rsidP="00A44A41">
            <w:pPr>
              <w:pStyle w:val="ProductList-Body"/>
              <w:numPr>
                <w:ilvl w:val="0"/>
                <w:numId w:val="11"/>
              </w:numPr>
              <w:ind w:left="162" w:hanging="180"/>
            </w:pPr>
            <w:r>
              <w:t>O pessoal da Microsoft deve obter autorização da Microsoft antes de armazenar os Dados do Cliente em dispositivos portáteis, acessá-los remotamente ou processá-los fora das instalações da Microsoft.</w:t>
            </w:r>
          </w:p>
        </w:tc>
      </w:tr>
      <w:tr w:rsidR="00086F17" w:rsidTr="000B2305">
        <w:tc>
          <w:tcPr>
            <w:tcW w:w="2610" w:type="dxa"/>
            <w:vAlign w:val="center"/>
          </w:tcPr>
          <w:p w:rsidR="00086F17" w:rsidRDefault="00086F17" w:rsidP="007303AE">
            <w:pPr>
              <w:pStyle w:val="ProductList-Body"/>
            </w:pPr>
            <w:r>
              <w:t>Segurança dos Recursos Humanos</w:t>
            </w:r>
          </w:p>
        </w:tc>
        <w:tc>
          <w:tcPr>
            <w:tcW w:w="8190" w:type="dxa"/>
          </w:tcPr>
          <w:p w:rsidR="00086F17" w:rsidRDefault="009C6951" w:rsidP="00D361CE">
            <w:pPr>
              <w:pStyle w:val="ProductList-Body"/>
            </w:pPr>
            <w:r>
              <w:rPr>
                <w:b/>
              </w:rPr>
              <w:t>Treinamento de Segurança</w:t>
            </w:r>
            <w:r w:rsidRPr="00316D67">
              <w:rPr>
                <w:b/>
              </w:rPr>
              <w:t>.</w:t>
            </w:r>
            <w:r>
              <w:t xml:space="preserve"> A Microsoft informa seu pessoal sobre procedimentos de segurança relevantes e suas respectivas funções. A Microsoft também informa seu pessoal sobre as possíveis consequências da</w:t>
            </w:r>
            <w:r w:rsidR="00D361CE">
              <w:t> </w:t>
            </w:r>
            <w:r>
              <w:t>violação das regras e procedimentos de segurança. A Microsoft usará apenas dados anônimos em treinamentos.</w:t>
            </w:r>
          </w:p>
        </w:tc>
      </w:tr>
      <w:tr w:rsidR="00086F17" w:rsidTr="000B2305">
        <w:tc>
          <w:tcPr>
            <w:tcW w:w="2610" w:type="dxa"/>
            <w:vAlign w:val="center"/>
          </w:tcPr>
          <w:p w:rsidR="00086F17" w:rsidRDefault="00086F17" w:rsidP="007303AE">
            <w:pPr>
              <w:pStyle w:val="ProductList-Body"/>
            </w:pPr>
            <w:r>
              <w:t>Segurança Física e Ambiental</w:t>
            </w:r>
          </w:p>
        </w:tc>
        <w:tc>
          <w:tcPr>
            <w:tcW w:w="8190" w:type="dxa"/>
          </w:tcPr>
          <w:p w:rsidR="009C6951" w:rsidRPr="00B810D0" w:rsidRDefault="009C6951" w:rsidP="009C6951">
            <w:pPr>
              <w:pStyle w:val="ProductList-Body"/>
            </w:pPr>
            <w:r>
              <w:rPr>
                <w:b/>
              </w:rPr>
              <w:t>Acesso Físico a Instalações</w:t>
            </w:r>
            <w:r w:rsidRPr="00316D67">
              <w:rPr>
                <w:b/>
              </w:rPr>
              <w:t>.</w:t>
            </w:r>
            <w:r>
              <w:t xml:space="preserve"> A Microsoft limita indivíduos autorizados identificados, o acesso às instalações onde os sistemas de informação que processam os Dados do Cliente estão localizados.</w:t>
            </w:r>
          </w:p>
          <w:p w:rsidR="009C6951" w:rsidRPr="00B810D0" w:rsidRDefault="009C6951" w:rsidP="0088164F">
            <w:pPr>
              <w:pStyle w:val="ProductList-Body"/>
              <w:spacing w:before="40"/>
            </w:pPr>
            <w:r>
              <w:rPr>
                <w:b/>
              </w:rPr>
              <w:t>Acesso Físico a Componentes</w:t>
            </w:r>
            <w:r w:rsidRPr="00316D67">
              <w:rPr>
                <w:b/>
              </w:rPr>
              <w:t>.</w:t>
            </w:r>
            <w:r>
              <w:t xml:space="preserve"> A Microsoft mantém registros sobre a saída e a entrada de mídias que contenham Dados do Cliente, inclusive o tipo de mídia, os remetentes/destinatários autorizados, a data e</w:t>
            </w:r>
            <w:r w:rsidR="00643157">
              <w:t> </w:t>
            </w:r>
            <w:r>
              <w:t>a</w:t>
            </w:r>
            <w:r w:rsidR="00643157">
              <w:t> </w:t>
            </w:r>
            <w:r>
              <w:t>hora, o número de mídias e os tipos de Dados do Cliente que elas contêm.</w:t>
            </w:r>
          </w:p>
          <w:p w:rsidR="009C6951" w:rsidRPr="00B810D0" w:rsidRDefault="009C6951" w:rsidP="0088164F">
            <w:pPr>
              <w:pStyle w:val="ProductList-Body"/>
              <w:spacing w:before="40"/>
            </w:pPr>
            <w:r>
              <w:rPr>
                <w:b/>
              </w:rPr>
              <w:t>Proteção contra Interrupções</w:t>
            </w:r>
            <w:r w:rsidRPr="00316D67">
              <w:rPr>
                <w:b/>
              </w:rPr>
              <w:t>.</w:t>
            </w:r>
            <w:r>
              <w:t xml:space="preserve"> A Microsoft usa uma variedade de sistemas padrão do setor para proteger-se contra a perda de dados devido a falhas na fonte de alimentação ou interferências de linha.</w:t>
            </w:r>
          </w:p>
          <w:p w:rsidR="00086F17" w:rsidRDefault="009C6951" w:rsidP="0088164F">
            <w:pPr>
              <w:pStyle w:val="ProductList-Body"/>
              <w:spacing w:before="40"/>
            </w:pPr>
            <w:r>
              <w:rPr>
                <w:b/>
              </w:rPr>
              <w:t>Descarte de Componentes</w:t>
            </w:r>
            <w:r w:rsidRPr="00316D67">
              <w:rPr>
                <w:b/>
              </w:rPr>
              <w:t>.</w:t>
            </w:r>
            <w:r>
              <w:t xml:space="preserve"> A Microsoft usa processos padrão do setor para excluir Dados do Cliente quando não são mais necessários.</w:t>
            </w:r>
          </w:p>
        </w:tc>
      </w:tr>
      <w:tr w:rsidR="00086F17" w:rsidTr="000B2305">
        <w:tc>
          <w:tcPr>
            <w:tcW w:w="2610" w:type="dxa"/>
            <w:vAlign w:val="center"/>
          </w:tcPr>
          <w:p w:rsidR="00086F17" w:rsidRDefault="00086F17" w:rsidP="007303AE">
            <w:pPr>
              <w:pStyle w:val="ProductList-Body"/>
            </w:pPr>
            <w:r>
              <w:t>Gerenciamento de Comunicações e Operações</w:t>
            </w:r>
          </w:p>
        </w:tc>
        <w:tc>
          <w:tcPr>
            <w:tcW w:w="8190" w:type="dxa"/>
          </w:tcPr>
          <w:p w:rsidR="009C6951" w:rsidRPr="00B810D0" w:rsidRDefault="009C6951" w:rsidP="009C6951">
            <w:pPr>
              <w:pStyle w:val="ProductList-Body"/>
            </w:pPr>
            <w:r>
              <w:rPr>
                <w:b/>
              </w:rPr>
              <w:t>Política Operacional</w:t>
            </w:r>
            <w:r>
              <w:t>. A Microsoft mantém documentos de segurança descrevendo suas medidas de segurança e os procedimentos relevantes e responsabilidades de seu pessoal com acesso aos Dados do</w:t>
            </w:r>
            <w:r w:rsidR="00D361CE">
              <w:t> </w:t>
            </w:r>
            <w:r>
              <w:t>Cliente.</w:t>
            </w:r>
          </w:p>
          <w:p w:rsidR="009C6951" w:rsidRPr="00B810D0" w:rsidRDefault="009C6951" w:rsidP="0088164F">
            <w:pPr>
              <w:pStyle w:val="ProductList-Body"/>
              <w:spacing w:before="40"/>
            </w:pPr>
            <w:r>
              <w:rPr>
                <w:b/>
              </w:rPr>
              <w:t>Procedimentos de Recuperação de Dados</w:t>
            </w:r>
          </w:p>
          <w:p w:rsidR="009C6951" w:rsidRPr="00B810D0" w:rsidRDefault="003D22CB" w:rsidP="003D22CB">
            <w:pPr>
              <w:pStyle w:val="ProductList-Body"/>
              <w:ind w:left="162" w:hanging="162"/>
            </w:pPr>
            <w:r>
              <w:t>-</w:t>
            </w:r>
            <w:r>
              <w:tab/>
              <w:t>Em uma base contínua, mas com uma frequência mínima de uma vez por semana (a menos que os Dados do Cliente tenham sido atualizados durante esse período), a Microsoft mantém várias cópias dos Dados do Cliente das quais estes podem ser recuperados.</w:t>
            </w:r>
          </w:p>
          <w:p w:rsidR="009C6951" w:rsidRPr="00B810D0" w:rsidRDefault="003D22CB" w:rsidP="003D22CB">
            <w:pPr>
              <w:pStyle w:val="ProductList-Body"/>
              <w:ind w:left="162" w:hanging="162"/>
            </w:pPr>
            <w:r>
              <w:t>-</w:t>
            </w:r>
            <w:r>
              <w:tab/>
              <w:t>A Microsoft armazena cópias dos Dados do Cliente e os procedimentos de recuperação de dados em outro local que não seja onde se localiza o computador principal que processa os Dados do Cliente.</w:t>
            </w:r>
          </w:p>
          <w:p w:rsidR="009C6951" w:rsidRPr="00B810D0" w:rsidRDefault="003D22CB" w:rsidP="003D22CB">
            <w:pPr>
              <w:pStyle w:val="ProductList-Body"/>
              <w:ind w:left="162" w:hanging="162"/>
            </w:pPr>
            <w:r>
              <w:t>-</w:t>
            </w:r>
            <w:r>
              <w:tab/>
              <w:t>A Microsoft tem em vigor procedimentos específicos que regem o acesso a cópias dos Dados do Cliente.</w:t>
            </w:r>
          </w:p>
          <w:p w:rsidR="009C6951" w:rsidRPr="00B810D0" w:rsidRDefault="003D22CB" w:rsidP="003D22CB">
            <w:pPr>
              <w:pStyle w:val="ProductList-Body"/>
              <w:ind w:left="162" w:hanging="162"/>
            </w:pPr>
            <w:r>
              <w:t>-</w:t>
            </w:r>
            <w:r>
              <w:tab/>
              <w:t>A Microsoft revisa os procedimentos de recuperação de dados, pelo menos, semestralmente.</w:t>
            </w:r>
          </w:p>
          <w:p w:rsidR="009C6951" w:rsidRPr="00B810D0" w:rsidRDefault="003D22CB" w:rsidP="003D22CB">
            <w:pPr>
              <w:pStyle w:val="ProductList-Body"/>
              <w:ind w:left="162" w:hanging="162"/>
            </w:pPr>
            <w:r>
              <w:t>-</w:t>
            </w:r>
            <w:r>
              <w:tab/>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rsidR="009C6951" w:rsidRPr="00B810D0" w:rsidRDefault="009C6951" w:rsidP="0088164F">
            <w:pPr>
              <w:pStyle w:val="ProductList-Body"/>
              <w:spacing w:before="40"/>
            </w:pPr>
            <w:r>
              <w:rPr>
                <w:b/>
              </w:rPr>
              <w:t>Software Mal-intencionado</w:t>
            </w:r>
            <w:r w:rsidRPr="00316D67">
              <w:rPr>
                <w:b/>
              </w:rPr>
              <w:t>.</w:t>
            </w:r>
            <w:r>
              <w:t xml:space="preserve"> A Microsoft tem controles antimalware que ajudam a impedir que software mal-intencionado obtenha acesso não autorizado aos Dados do Cliente, inclusive software mal-intencionado originado de redes públicas.</w:t>
            </w:r>
          </w:p>
          <w:p w:rsidR="009C6951" w:rsidRPr="00B810D0" w:rsidRDefault="009C6951" w:rsidP="0088164F">
            <w:pPr>
              <w:pStyle w:val="ProductList-Body"/>
              <w:spacing w:before="40"/>
            </w:pPr>
            <w:r>
              <w:rPr>
                <w:b/>
              </w:rPr>
              <w:t>Transferência de Dados para Além dos Limites</w:t>
            </w:r>
          </w:p>
          <w:p w:rsidR="009C6951" w:rsidRPr="00B810D0" w:rsidRDefault="00651B74" w:rsidP="003D22CB">
            <w:pPr>
              <w:pStyle w:val="ProductList-Body"/>
              <w:ind w:left="162" w:hanging="162"/>
            </w:pPr>
            <w:r>
              <w:t>-</w:t>
            </w:r>
            <w:r>
              <w:tab/>
              <w:t>A Microsoft criptografa, ou permite que o Cliente criptografe, os Dados do Cliente transmitidos por redes públicas.</w:t>
            </w:r>
          </w:p>
          <w:p w:rsidR="009C6951" w:rsidRPr="00B810D0" w:rsidRDefault="003D22CB" w:rsidP="003D22CB">
            <w:pPr>
              <w:pStyle w:val="ProductList-Body"/>
              <w:ind w:left="162" w:hanging="162"/>
            </w:pPr>
            <w:r>
              <w:t>-</w:t>
            </w:r>
            <w:r>
              <w:tab/>
              <w:t>A Microsoft restringe o acesso aos Dados do Cliente em mídias que deixam suas instalações (por exemplo, por meio de criptografia).</w:t>
            </w:r>
          </w:p>
          <w:p w:rsidR="00086F17" w:rsidRDefault="009C6951" w:rsidP="0088164F">
            <w:pPr>
              <w:pStyle w:val="ProductList-Body"/>
              <w:spacing w:before="40"/>
            </w:pPr>
            <w:r>
              <w:rPr>
                <w:b/>
              </w:rPr>
              <w:t>Registro de Eventos</w:t>
            </w:r>
            <w:r w:rsidRPr="00316D67">
              <w:rPr>
                <w:b/>
              </w:rPr>
              <w:t>.</w:t>
            </w:r>
            <w:r>
              <w:t xml:space="preserve"> A Microsoft registra, ou permite que o Cliente registre, o acesso e o uso de sistemas de informações contendo os Dados do Cliente, registrando o ID de acesso, a hora, a autorização concedida ou negada e a atividade relevante.</w:t>
            </w:r>
          </w:p>
        </w:tc>
      </w:tr>
      <w:tr w:rsidR="00086F17" w:rsidTr="000B2305">
        <w:tc>
          <w:tcPr>
            <w:tcW w:w="2610" w:type="dxa"/>
            <w:vAlign w:val="center"/>
          </w:tcPr>
          <w:p w:rsidR="00086F17" w:rsidRDefault="00086F17" w:rsidP="007303AE">
            <w:pPr>
              <w:pStyle w:val="ProductList-Body"/>
            </w:pPr>
            <w:r>
              <w:t>Controle de Acesso</w:t>
            </w:r>
          </w:p>
        </w:tc>
        <w:tc>
          <w:tcPr>
            <w:tcW w:w="8190" w:type="dxa"/>
          </w:tcPr>
          <w:p w:rsidR="009C6951" w:rsidRPr="00B810D0" w:rsidRDefault="009C6951" w:rsidP="009C6951">
            <w:pPr>
              <w:pStyle w:val="ProductList-Body"/>
            </w:pPr>
            <w:r>
              <w:rPr>
                <w:b/>
              </w:rPr>
              <w:t>Política de Acesso</w:t>
            </w:r>
            <w:r w:rsidRPr="00316D67">
              <w:rPr>
                <w:b/>
              </w:rPr>
              <w:t>.</w:t>
            </w:r>
            <w:r>
              <w:t xml:space="preserve"> A Microsoft mantém um registro de privilégio de segurança de indivíduos que têm acesso aos Dados do Cliente.</w:t>
            </w:r>
          </w:p>
          <w:p w:rsidR="009C6951" w:rsidRPr="00B810D0" w:rsidRDefault="009C6951" w:rsidP="0088164F">
            <w:pPr>
              <w:pStyle w:val="ProductList-Body"/>
              <w:spacing w:before="40"/>
            </w:pPr>
            <w:r>
              <w:rPr>
                <w:b/>
              </w:rPr>
              <w:t>Autorização de Acesso</w:t>
            </w:r>
          </w:p>
          <w:p w:rsidR="009C6951" w:rsidRPr="00B810D0" w:rsidRDefault="003D22CB" w:rsidP="003D22CB">
            <w:pPr>
              <w:pStyle w:val="ProductList-Body"/>
              <w:ind w:left="162" w:hanging="162"/>
            </w:pPr>
            <w:r>
              <w:t>-</w:t>
            </w:r>
            <w:r>
              <w:tab/>
              <w:t>A Microsoft mantém e atualiza um registro do pessoal autorizado a acessar os sistemas da Microsoft que contêm Dados do Cliente.</w:t>
            </w:r>
          </w:p>
          <w:p w:rsidR="009C6951" w:rsidRPr="00B810D0" w:rsidRDefault="003D22CB" w:rsidP="003D22CB">
            <w:pPr>
              <w:pStyle w:val="ProductList-Body"/>
              <w:ind w:left="162" w:hanging="162"/>
            </w:pPr>
            <w:r>
              <w:t>-</w:t>
            </w:r>
            <w:r>
              <w:tab/>
              <w:t>A Microsoft desativa as credenciais de autenticação que não foram usadas por um período de até seis meses.</w:t>
            </w:r>
          </w:p>
          <w:p w:rsidR="009C6951" w:rsidRPr="00B810D0" w:rsidRDefault="003D22CB" w:rsidP="003D22CB">
            <w:pPr>
              <w:pStyle w:val="ProductList-Body"/>
              <w:ind w:left="162" w:hanging="162"/>
            </w:pPr>
            <w:r>
              <w:t>-</w:t>
            </w:r>
            <w:r>
              <w:tab/>
              <w:t>A Microsoft identifica o pessoal que pode conceder, alterar ou cancelar acesso autorizado a dados e</w:t>
            </w:r>
            <w:r w:rsidR="00643157">
              <w:t> </w:t>
            </w:r>
            <w:r>
              <w:t xml:space="preserve">recursos. </w:t>
            </w:r>
          </w:p>
          <w:p w:rsidR="009C6951" w:rsidRPr="00B810D0" w:rsidRDefault="003D22CB" w:rsidP="003D22CB">
            <w:pPr>
              <w:pStyle w:val="ProductList-Body"/>
              <w:ind w:left="162" w:hanging="162"/>
            </w:pPr>
            <w:r>
              <w:t>-</w:t>
            </w:r>
            <w:r>
              <w:tab/>
              <w:t>A Microsoft garante que quando mais de um indivíduo tiver acesso aos sistemas que contêm os Dados do Cliente, os indivíduos terão logins/identificadores separados.</w:t>
            </w:r>
          </w:p>
          <w:p w:rsidR="009C6951" w:rsidRPr="00B810D0" w:rsidRDefault="009C6951" w:rsidP="0088164F">
            <w:pPr>
              <w:pStyle w:val="ProductList-Body"/>
              <w:spacing w:before="40"/>
            </w:pPr>
            <w:r>
              <w:rPr>
                <w:b/>
              </w:rPr>
              <w:t>Privilégios Mínimos</w:t>
            </w:r>
          </w:p>
          <w:p w:rsidR="009C6951" w:rsidRPr="00B810D0" w:rsidRDefault="003D22CB" w:rsidP="003D22CB">
            <w:pPr>
              <w:pStyle w:val="ProductList-Body"/>
              <w:ind w:left="162" w:hanging="162"/>
            </w:pPr>
            <w:r>
              <w:t>-</w:t>
            </w:r>
            <w:r>
              <w:tab/>
              <w:t xml:space="preserve">O pessoal de suporte técnico é autorizado a acessar os Dados do Cliente somente quando necessário. </w:t>
            </w:r>
          </w:p>
          <w:p w:rsidR="009C6951" w:rsidRPr="00B810D0" w:rsidRDefault="003D22CB" w:rsidP="003D22CB">
            <w:pPr>
              <w:pStyle w:val="ProductList-Body"/>
              <w:ind w:left="162" w:hanging="162"/>
            </w:pPr>
            <w:r>
              <w:t>-</w:t>
            </w:r>
            <w:r>
              <w:tab/>
              <w:t>A Microsoft restringe o acesso aos Dados do Cliente apenas aos indivíduos que precisam de tal acesso para executar suas funções.</w:t>
            </w:r>
          </w:p>
          <w:p w:rsidR="009C6951" w:rsidRPr="00B810D0" w:rsidRDefault="009C6951" w:rsidP="0088164F">
            <w:pPr>
              <w:pStyle w:val="ProductList-Body"/>
              <w:spacing w:before="40"/>
            </w:pPr>
            <w:r>
              <w:rPr>
                <w:b/>
              </w:rPr>
              <w:t>Integridade e Confidencialidade</w:t>
            </w:r>
          </w:p>
          <w:p w:rsidR="009C6951" w:rsidRPr="00B810D0" w:rsidRDefault="003D22CB" w:rsidP="003D22CB">
            <w:pPr>
              <w:pStyle w:val="ProductList-Body"/>
              <w:ind w:left="162" w:hanging="162"/>
            </w:pPr>
            <w:r>
              <w:t>-</w:t>
            </w:r>
            <w:r>
              <w:tab/>
              <w:t>A Microsoft instrui seu pessoal a desativar sessões administrativas ao deixarem as instalações controladas pela Microsoft ou quando os computadores são, de outra forma, deixados sem supervisão.</w:t>
            </w:r>
          </w:p>
          <w:p w:rsidR="009C6951" w:rsidRPr="00B810D0" w:rsidRDefault="003D22CB" w:rsidP="003D22CB">
            <w:pPr>
              <w:pStyle w:val="ProductList-Body"/>
              <w:ind w:left="162" w:hanging="162"/>
            </w:pPr>
            <w:r>
              <w:t>-</w:t>
            </w:r>
            <w:r>
              <w:tab/>
              <w:t>A Microsoft armazena senhas de uma forma que as torna ininteligíveis enquanto elas estiverem em vigor.</w:t>
            </w:r>
          </w:p>
          <w:p w:rsidR="009C6951" w:rsidRPr="00B810D0" w:rsidRDefault="009C6951" w:rsidP="0088164F">
            <w:pPr>
              <w:pStyle w:val="ProductList-Body"/>
              <w:spacing w:before="40"/>
            </w:pPr>
            <w:r>
              <w:rPr>
                <w:b/>
              </w:rPr>
              <w:t>Autenticação</w:t>
            </w:r>
          </w:p>
          <w:p w:rsidR="009C6951" w:rsidRPr="00B810D0" w:rsidRDefault="003D22CB" w:rsidP="003D22CB">
            <w:pPr>
              <w:pStyle w:val="ProductList-Body"/>
              <w:ind w:left="162" w:hanging="162"/>
            </w:pPr>
            <w:r>
              <w:t>-</w:t>
            </w:r>
            <w:r>
              <w:tab/>
              <w:t>A Microsoft usa práticas padrão do setor para identificar e autenticar usuários que tentam acessar sistemas de informação.</w:t>
            </w:r>
          </w:p>
          <w:p w:rsidR="009C6951" w:rsidRPr="00B810D0" w:rsidRDefault="003D22CB" w:rsidP="003D22CB">
            <w:pPr>
              <w:pStyle w:val="ProductList-Body"/>
              <w:ind w:left="162" w:hanging="162"/>
            </w:pPr>
            <w:r>
              <w:t>-</w:t>
            </w:r>
            <w:r>
              <w:tab/>
              <w:t>Quando os mecanismos de autenticação são baseados em senha, a Microsoft exige que as senhas sejam renovadas regularmente.</w:t>
            </w:r>
          </w:p>
          <w:p w:rsidR="009C6951" w:rsidRPr="00B810D0" w:rsidRDefault="003D22CB" w:rsidP="003D22CB">
            <w:pPr>
              <w:pStyle w:val="ProductList-Body"/>
              <w:ind w:left="162" w:hanging="162"/>
            </w:pPr>
            <w:r>
              <w:t>-</w:t>
            </w:r>
            <w:r>
              <w:tab/>
              <w:t>Quando os mecanismos de autenticação são baseados em senha, a Microsoft exige que a senha tenha, pelo menos, oito caracteres.</w:t>
            </w:r>
          </w:p>
          <w:p w:rsidR="009C6951" w:rsidRPr="00B810D0" w:rsidRDefault="003D22CB" w:rsidP="003D22CB">
            <w:pPr>
              <w:pStyle w:val="ProductList-Body"/>
              <w:ind w:left="162" w:hanging="162"/>
            </w:pPr>
            <w:r>
              <w:t>-</w:t>
            </w:r>
            <w:r>
              <w:tab/>
              <w:t>A Microsoft garante que identificadores desativados ou expirados não sejam concedidos a outros indivíduos.</w:t>
            </w:r>
          </w:p>
          <w:p w:rsidR="009C6951" w:rsidRPr="00B810D0" w:rsidRDefault="003D22CB" w:rsidP="003D22CB">
            <w:pPr>
              <w:pStyle w:val="ProductList-Body"/>
              <w:ind w:left="162" w:hanging="162"/>
            </w:pPr>
            <w:r>
              <w:t>-</w:t>
            </w:r>
            <w:r>
              <w:tab/>
              <w:t>A Microsoft monitora, ou permite que o Cliente monitore, as tentativas repetidas de obtenção de acesso ao sistema de informação com senhas inválidas.</w:t>
            </w:r>
          </w:p>
          <w:p w:rsidR="009C6951" w:rsidRPr="00B810D0" w:rsidRDefault="003D22CB" w:rsidP="003D22CB">
            <w:pPr>
              <w:pStyle w:val="ProductList-Body"/>
              <w:ind w:left="162" w:hanging="162"/>
            </w:pPr>
            <w:r>
              <w:t>-</w:t>
            </w:r>
            <w:r>
              <w:tab/>
              <w:t>A Microsoft mantém procedimentos padrão do setor para desativar senhas que tenham sido corrompidas ou divulgadas acidentalmente.</w:t>
            </w:r>
          </w:p>
          <w:p w:rsidR="009C6951" w:rsidRPr="00B810D0" w:rsidRDefault="003D22CB" w:rsidP="003D22CB">
            <w:pPr>
              <w:pStyle w:val="ProductList-Body"/>
              <w:ind w:left="162" w:hanging="162"/>
            </w:pPr>
            <w:r>
              <w:t>-</w:t>
            </w:r>
            <w:r>
              <w:tab/>
              <w:t>A Microsoft usa práticas de proteção de senhas padrão do setor, inclusive práticas destinadas a manter a</w:t>
            </w:r>
            <w:r w:rsidR="00643157">
              <w:t> </w:t>
            </w:r>
            <w:r>
              <w:t>confidencialidade e a integridade de senhas quando estas são cedidas e distribuídas, e durante o armazenamento.</w:t>
            </w:r>
          </w:p>
          <w:p w:rsidR="00086F17" w:rsidRDefault="009C6951" w:rsidP="007303AE">
            <w:pPr>
              <w:pStyle w:val="ProductList-Body"/>
              <w:spacing w:before="40"/>
            </w:pPr>
            <w:r>
              <w:rPr>
                <w:b/>
              </w:rPr>
              <w:t>Projeto de Rede</w:t>
            </w:r>
            <w:r w:rsidRPr="00316D67">
              <w:rPr>
                <w:b/>
              </w:rPr>
              <w:t>.</w:t>
            </w:r>
            <w:r>
              <w:t xml:space="preserve"> A Microsoft tem controles para impedir que indivíduos assumam direitos de acesso não cedidos a eles para obter acesso aos Dados do Cliente que eles não estejam autorizados a acessar.</w:t>
            </w:r>
          </w:p>
        </w:tc>
      </w:tr>
      <w:tr w:rsidR="00086F17" w:rsidTr="000B2305">
        <w:tc>
          <w:tcPr>
            <w:tcW w:w="2610" w:type="dxa"/>
            <w:vAlign w:val="center"/>
          </w:tcPr>
          <w:p w:rsidR="00086F17" w:rsidRDefault="00086F17" w:rsidP="007303AE">
            <w:pPr>
              <w:pStyle w:val="ProductList-Body"/>
            </w:pPr>
            <w:r>
              <w:t>Gerenciamento de Incidentes de Segurança de Informação</w:t>
            </w:r>
          </w:p>
        </w:tc>
        <w:tc>
          <w:tcPr>
            <w:tcW w:w="8190" w:type="dxa"/>
          </w:tcPr>
          <w:p w:rsidR="00272578" w:rsidRPr="00B810D0" w:rsidRDefault="00272578" w:rsidP="00272578">
            <w:pPr>
              <w:pStyle w:val="ProductList-Body"/>
            </w:pPr>
            <w:r>
              <w:rPr>
                <w:b/>
              </w:rPr>
              <w:t>Processo de Resposta a Incidentes</w:t>
            </w:r>
          </w:p>
          <w:p w:rsidR="00272578" w:rsidRPr="00B810D0" w:rsidRDefault="003D22CB" w:rsidP="003D22CB">
            <w:pPr>
              <w:pStyle w:val="ProductList-Body"/>
              <w:ind w:left="162" w:hanging="162"/>
            </w:pPr>
            <w:r>
              <w:t>-</w:t>
            </w:r>
            <w:r>
              <w:tab/>
              <w:t>A Microsoft mantém um registro de violações de segurança com uma descrição da violação, o período, as</w:t>
            </w:r>
            <w:r w:rsidR="00643157">
              <w:t> </w:t>
            </w:r>
            <w:r>
              <w:t>consequências, o nome do autor da denúncia e a quem a violação foi denunciada, bem como o procedimento de recuperação de dados.</w:t>
            </w:r>
          </w:p>
          <w:p w:rsidR="00272578" w:rsidRPr="00B810D0" w:rsidRDefault="003D22CB" w:rsidP="003D22CB">
            <w:pPr>
              <w:pStyle w:val="ProductList-Body"/>
              <w:ind w:left="162" w:hanging="162"/>
            </w:pPr>
            <w:r>
              <w:t>-</w:t>
            </w:r>
            <w:r>
              <w:tab/>
              <w:t>A Microsoft controla, ou permite que o Cliente controle, as divulgações de Dados do Cliente, inclusive quais dados foram divulgados, para quem e a que horas.</w:t>
            </w:r>
          </w:p>
          <w:p w:rsidR="00086F17" w:rsidRDefault="00272578" w:rsidP="0088164F">
            <w:pPr>
              <w:pStyle w:val="ProductList-Body"/>
              <w:spacing w:before="40"/>
            </w:pPr>
            <w:r>
              <w:rPr>
                <w:b/>
              </w:rPr>
              <w:t>Monitoramento dos Serviços</w:t>
            </w:r>
            <w:r w:rsidRPr="00316D67">
              <w:rPr>
                <w:b/>
              </w:rPr>
              <w:t>.</w:t>
            </w:r>
            <w:r>
              <w:t xml:space="preserve"> O pessoal de segurança da Microsoft verifica os logs, pelo menos, semestralmente, a fim de propor esforços de reparação, se necessário.</w:t>
            </w:r>
          </w:p>
        </w:tc>
      </w:tr>
      <w:tr w:rsidR="00086F17" w:rsidTr="000B2305">
        <w:tc>
          <w:tcPr>
            <w:tcW w:w="2610" w:type="dxa"/>
            <w:vAlign w:val="center"/>
          </w:tcPr>
          <w:p w:rsidR="00086F17" w:rsidRDefault="00086F17" w:rsidP="007303AE">
            <w:pPr>
              <w:pStyle w:val="ProductList-Body"/>
            </w:pPr>
            <w:r>
              <w:t>Gerenciamento da Continuidade dos Negócios</w:t>
            </w:r>
          </w:p>
        </w:tc>
        <w:tc>
          <w:tcPr>
            <w:tcW w:w="8190" w:type="dxa"/>
          </w:tcPr>
          <w:p w:rsidR="00272578" w:rsidRPr="00B810D0" w:rsidRDefault="003D22CB" w:rsidP="003D22CB">
            <w:pPr>
              <w:pStyle w:val="ProductList-Body"/>
              <w:ind w:left="162" w:hanging="162"/>
            </w:pPr>
            <w:r>
              <w:t>-</w:t>
            </w:r>
            <w:r>
              <w:tab/>
              <w:t>A Microsoft mantém planos de emergência e de contingência para as instalações onde se localizam os</w:t>
            </w:r>
            <w:r w:rsidR="00643157">
              <w:t> </w:t>
            </w:r>
            <w:r>
              <w:t>sistemas de informação da Microsoft que processam os Dados do Cliente.</w:t>
            </w:r>
          </w:p>
          <w:p w:rsidR="00086F17" w:rsidRDefault="003D22CB" w:rsidP="003D22CB">
            <w:pPr>
              <w:pStyle w:val="ProductList-Body"/>
              <w:ind w:left="162" w:hanging="162"/>
            </w:pPr>
            <w:r>
              <w:t>-</w:t>
            </w:r>
            <w:r>
              <w:tab/>
              <w:t>O armazenamento redundante da Microsoft e seus procedimentos para recuperação de dados destinam-se a tentar reconstruir os Dados do Cliente ao estado original ou da última replicação antes da perda ou da destruição.</w:t>
            </w:r>
          </w:p>
        </w:tc>
      </w:tr>
    </w:tbl>
    <w:p w:rsidR="00086F17" w:rsidRPr="00B810D0" w:rsidRDefault="00086F17" w:rsidP="00A914BF">
      <w:pPr>
        <w:pStyle w:val="ProductList-Body"/>
      </w:pPr>
    </w:p>
    <w:p w:rsidR="00272578" w:rsidRPr="00B810D0" w:rsidRDefault="00272578" w:rsidP="00233C87">
      <w:pPr>
        <w:pStyle w:val="ProductList-SubSubSectionHeading"/>
        <w:outlineLvl w:val="2"/>
      </w:pPr>
      <w:bookmarkStart w:id="47" w:name="_Toc391645806"/>
      <w:r>
        <w:t>Certificações e Auditorias</w:t>
      </w:r>
      <w:bookmarkEnd w:id="47"/>
    </w:p>
    <w:p w:rsidR="00272578" w:rsidRPr="00B810D0" w:rsidRDefault="00272578" w:rsidP="00A44A41">
      <w:pPr>
        <w:pStyle w:val="ProductList-Body"/>
        <w:numPr>
          <w:ilvl w:val="0"/>
          <w:numId w:val="9"/>
        </w:numPr>
        <w:ind w:left="450" w:hanging="270"/>
      </w:pPr>
      <w:r>
        <w:t>A Microsoft estabeleceu e concorda em manter uma política de segurança de dados (Política de Segurança de Informações Online) para cada Serviço Online que atenda às normas ISO 27001 para o estabelecimento, a implementação, o controle e o aperfeiçoamento do Sistema de Gerenciamento da Segurança de Informações e ao código ISO/IEC 27002 de práticas recomendadas de gerenciamento de segurança de informações. Por meio da divulgação restrita àqueles diretamente interessados e sujeito à concordância do Cliente com as obrigações de não</w:t>
      </w:r>
      <w:r w:rsidR="00ED7512">
        <w:t> </w:t>
      </w:r>
      <w:r>
        <w:t>divulgação especificadas pela Microsoft, esta disponibilizará a Política de Segurança de Informações Online ao Cliente, juntamente com</w:t>
      </w:r>
      <w:r w:rsidR="00ED7512">
        <w:t> </w:t>
      </w:r>
      <w:r>
        <w:t>outras informações solicitadas de forma razoável pelo Cliente em relação às práticas e políticas de segurança da Microsoft. O Cliente é</w:t>
      </w:r>
      <w:r w:rsidR="00ED7512">
        <w:t> </w:t>
      </w:r>
      <w:r>
        <w:t>o</w:t>
      </w:r>
      <w:r w:rsidR="00ED7512">
        <w:t> </w:t>
      </w:r>
      <w:r>
        <w:t>único responsável por analisar a Política de Segurança de Informações Online, tomando uma decisão independente em relação ao cumprimento ou não dos requisitos do Cliente pela Política e garantindo que o seu pessoal e os consultores sigam as diretrizes fornecidas em</w:t>
      </w:r>
      <w:r w:rsidR="00643157">
        <w:t> </w:t>
      </w:r>
      <w:r>
        <w:t>relação à segurança de dados. Se o Cliente estiver sujeito às Cláusulas Contratuais Padrão, esta seção será acrescentada ao parágrafo f</w:t>
      </w:r>
      <w:r w:rsidR="00643157">
        <w:t> </w:t>
      </w:r>
      <w:r>
        <w:t>da</w:t>
      </w:r>
      <w:r w:rsidR="00643157">
        <w:t> </w:t>
      </w:r>
      <w:r>
        <w:t>Cláusula 5 e ao parágrafo 2 da Cláusula 12 das Cláusulas Contratuais Padrão.</w:t>
      </w:r>
    </w:p>
    <w:p w:rsidR="00272578" w:rsidRPr="00B810D0" w:rsidRDefault="00272578" w:rsidP="0088164F">
      <w:pPr>
        <w:pStyle w:val="ProductList-Body"/>
        <w:numPr>
          <w:ilvl w:val="0"/>
          <w:numId w:val="9"/>
        </w:numPr>
        <w:spacing w:before="40"/>
        <w:ind w:left="461" w:hanging="274"/>
      </w:pPr>
      <w:r>
        <w:t xml:space="preserve">A Microsoft auditará a segurança dos computadores e do ambiente computacional usados no processamento dos Dados do Cliente (inclusive dados pessoais) contidos nos Serviços Online e em data centers físicos a partir dos quais a Microsoft fornecerá os Serviços Online. Essa auditoria: (1) será realizada pelo menos anualmente; (2) será realizada de acordo com as normas ISO 27001; (3) será realizada por profissionais de segurança terceiros, qualificados e independentes, selecionados pela Microsoft e à custa dela; (4) resultará na geração de um relatório de auditoria (Relatório de Auditoria da Microsoft), que se transformará em Informações confidenciais da Microsoft e (5) poderá ser executada com outras finalidades além do cumprimento desta seção (por exemplo, como parte dos procedimentos normais de segurança internos da Microsoft ou para atender a outras obrigações contratuais). </w:t>
      </w:r>
    </w:p>
    <w:p w:rsidR="00272578" w:rsidRPr="00B810D0" w:rsidRDefault="00272578" w:rsidP="0088164F">
      <w:pPr>
        <w:pStyle w:val="ProductList-Body"/>
        <w:numPr>
          <w:ilvl w:val="0"/>
          <w:numId w:val="9"/>
        </w:numPr>
        <w:spacing w:before="40"/>
        <w:ind w:left="461" w:hanging="274"/>
      </w:pPr>
      <w:r>
        <w:t xml:space="preserve">Mediante solicitação por escrito do Cliente, a Microsoft fornecerá a este um resumo confidencial do Relatório de Auditoria da Microsoft (Relatório Resumido) para que o Cliente possa verificar, de forma razoável, o cumprimento das obrigações de segurança da Microsoft de acordo com os DPT. O Relatório Resumido deverá divulgar claramente o escopo da auditoria e todas as descobertas materiais realizadas pelo auditor. O Relatório Resumido constitui informação confidencial da Microsoft. </w:t>
      </w:r>
    </w:p>
    <w:p w:rsidR="00272578" w:rsidRPr="00B810D0" w:rsidRDefault="00272578" w:rsidP="0088164F">
      <w:pPr>
        <w:pStyle w:val="ProductList-Body"/>
        <w:numPr>
          <w:ilvl w:val="0"/>
          <w:numId w:val="9"/>
        </w:numPr>
        <w:spacing w:before="40"/>
        <w:ind w:left="461" w:hanging="274"/>
      </w:pPr>
      <w:r>
        <w:t>Se as Cláusulas Contratuais Padrão forem aplicáveis, o Cliente concordará em exercer seu direito à auditoria instruindo a Microsoft a realizá-la conforme o descrito nesta seção dos DPT. Se o Cliente não tiver recusado as Cláusulas Contratuais Padrão e desejar alterar essa instrução relativa ao exercício desse direito à auditoria, ele terá o direito de alterá-la, conforme mencionado nas Cláusulas Contratuais Padrão, o que deverá ser solicitado por escrito.</w:t>
      </w:r>
    </w:p>
    <w:p w:rsidR="000E6ED8" w:rsidRPr="00B810D0" w:rsidRDefault="00272578" w:rsidP="00ED3508">
      <w:pPr>
        <w:pStyle w:val="ProductList-Body"/>
        <w:numPr>
          <w:ilvl w:val="0"/>
          <w:numId w:val="9"/>
        </w:numPr>
        <w:spacing w:before="40"/>
        <w:ind w:left="461" w:hanging="274"/>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w:t>
      </w:r>
      <w:r w:rsidR="00ED7512">
        <w:t> </w:t>
      </w:r>
      <w:r>
        <w:t>Microsoft Corporation é um beneficiário de terceiro pretendido desta seção.</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B810D0" w:rsidRDefault="00272578" w:rsidP="00233C87">
      <w:pPr>
        <w:pStyle w:val="ProductList-SectionHeading"/>
        <w:outlineLvl w:val="0"/>
      </w:pPr>
      <w:bookmarkStart w:id="48" w:name="OnlineServiceSpecificTerms"/>
      <w:bookmarkStart w:id="49" w:name="_Toc391645807"/>
      <w:r>
        <w:t>Termos Específicos dos Serviços Online</w:t>
      </w:r>
      <w:bookmarkEnd w:id="48"/>
      <w:bookmarkEnd w:id="49"/>
    </w:p>
    <w:p w:rsidR="000E6ED8" w:rsidRPr="00B810D0" w:rsidRDefault="00272578" w:rsidP="00A914BF">
      <w:pPr>
        <w:pStyle w:val="ProductList-Body"/>
      </w:pPr>
      <w:r>
        <w:t>Se um Serviço Online não estiver listado abaixo, ele não terá termos específicos dos Serviços Online.</w:t>
      </w:r>
    </w:p>
    <w:p w:rsidR="000E6ED8" w:rsidRPr="00B810D0" w:rsidRDefault="000E6ED8" w:rsidP="00A914BF">
      <w:pPr>
        <w:pStyle w:val="ProductList-Body"/>
      </w:pPr>
    </w:p>
    <w:p w:rsidR="000E6ED8" w:rsidRPr="00B810D0" w:rsidRDefault="00272578" w:rsidP="00233C87">
      <w:pPr>
        <w:pStyle w:val="ProductList-Offering1Heading"/>
        <w:outlineLvl w:val="1"/>
      </w:pPr>
      <w:bookmarkStart w:id="50" w:name="_Toc391645808"/>
      <w:r>
        <w:t>Serviços do Microsoft Azure</w:t>
      </w:r>
      <w:bookmarkEnd w:id="50"/>
    </w:p>
    <w:p w:rsidR="00CC34E7" w:rsidRPr="00B810D0" w:rsidRDefault="00CC34E7" w:rsidP="00CC34E7">
      <w:pPr>
        <w:pStyle w:val="ProductList-Body"/>
      </w:pPr>
      <w:r>
        <w:rPr>
          <w:b/>
          <w:color w:val="00188F"/>
        </w:rPr>
        <w:t>Notificações</w:t>
      </w:r>
    </w:p>
    <w:p w:rsidR="00CC34E7" w:rsidRPr="00B810D0" w:rsidRDefault="00CC34E7" w:rsidP="00CC34E7">
      <w:pPr>
        <w:pStyle w:val="ProductList-Body"/>
      </w:pPr>
      <w:r>
        <w:t xml:space="preserve">As Notificações sobre Atendimento ao Cliente e o Padrão Visual H.264/AVC, o Padrão de Vídeo VC-1, o Padrão Visual MPEG-4 Parte 2 e o Padrão de Vídeo MPEG-2 contidas no </w:t>
      </w:r>
      <w:hyperlink w:anchor="Attachment1" w:history="1">
        <w:r>
          <w:rPr>
            <w:rStyle w:val="Hyperlink"/>
          </w:rPr>
          <w:t>Anexo 1</w:t>
        </w:r>
      </w:hyperlink>
      <w:r>
        <w:t xml:space="preserve"> são aplicáveis.</w:t>
      </w:r>
    </w:p>
    <w:p w:rsidR="00CC34E7" w:rsidRPr="00F23668" w:rsidRDefault="00CC34E7" w:rsidP="00CC34E7">
      <w:pPr>
        <w:pStyle w:val="ProductList-Body"/>
        <w:rPr>
          <w:sz w:val="16"/>
          <w:szCs w:val="16"/>
        </w:rPr>
      </w:pPr>
    </w:p>
    <w:p w:rsidR="00CC34E7" w:rsidRPr="00B810D0" w:rsidRDefault="00CC34E7" w:rsidP="00CC34E7">
      <w:pPr>
        <w:pStyle w:val="ProductList-Body"/>
      </w:pPr>
      <w:r>
        <w:rPr>
          <w:b/>
          <w:color w:val="00188F"/>
        </w:rPr>
        <w:t>Contrato de Nível de Serviço</w:t>
      </w:r>
    </w:p>
    <w:p w:rsidR="00CC34E7" w:rsidRPr="00B810D0" w:rsidRDefault="00CC34E7" w:rsidP="00CC34E7">
      <w:pPr>
        <w:pStyle w:val="ProductList-Body"/>
      </w:pPr>
      <w:r>
        <w:t xml:space="preserve">Consulte o site </w:t>
      </w:r>
      <w:hyperlink r:id="rId28" w:history="1">
        <w:r>
          <w:rPr>
            <w:rStyle w:val="Hyperlink"/>
          </w:rPr>
          <w:t>http://azure.microsoft.com/en-us/support/legal/sla/</w:t>
        </w:r>
      </w:hyperlink>
      <w:r>
        <w:t>.</w:t>
      </w:r>
    </w:p>
    <w:p w:rsidR="00CC34E7" w:rsidRPr="00F23668" w:rsidRDefault="00CC34E7" w:rsidP="00D12FE5">
      <w:pPr>
        <w:pStyle w:val="ProductList-Body"/>
        <w:rPr>
          <w:sz w:val="16"/>
          <w:szCs w:val="16"/>
        </w:rPr>
      </w:pPr>
    </w:p>
    <w:p w:rsidR="00272578" w:rsidRPr="00B810D0" w:rsidRDefault="009616E2" w:rsidP="00CC34E7">
      <w:pPr>
        <w:pStyle w:val="ProductList-Body"/>
      </w:pPr>
      <w:r>
        <w:rPr>
          <w:b/>
          <w:color w:val="00188F"/>
        </w:rPr>
        <w:t>Definições</w:t>
      </w:r>
    </w:p>
    <w:p w:rsidR="00272578" w:rsidRPr="00B810D0"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rsidR="00186BF6" w:rsidRPr="00B810D0" w:rsidRDefault="00186BF6" w:rsidP="00272578">
      <w:pPr>
        <w:pStyle w:val="ProductList-Body"/>
      </w:pPr>
      <w:r>
        <w:t>“Solução de Serviço Gerenciado” significa um serviço de TI gerenciado, fornecido a um terceiro pelo Cliente, que consista na administração e no suporte aos Serviços do Microsoft Azure.</w:t>
      </w:r>
    </w:p>
    <w:p w:rsidR="00186BF6" w:rsidRPr="00F23668" w:rsidRDefault="00186BF6" w:rsidP="00272578">
      <w:pPr>
        <w:pStyle w:val="ProductList-Body"/>
        <w:rPr>
          <w:sz w:val="16"/>
          <w:szCs w:val="16"/>
        </w:rPr>
      </w:pPr>
    </w:p>
    <w:p w:rsidR="00272578" w:rsidRPr="00B810D0" w:rsidRDefault="009616E2" w:rsidP="00272578">
      <w:pPr>
        <w:pStyle w:val="ProductList-Body"/>
      </w:pPr>
      <w:r>
        <w:t xml:space="preserve">“Serviços do Microsoft Azure” significa um ou mais serviços e recursos da Microsoft identificados no site </w:t>
      </w:r>
      <w:hyperlink r:id="rId29" w:history="1">
        <w:r>
          <w:rPr>
            <w:rStyle w:val="Hyperlink"/>
          </w:rPr>
          <w:t>www.azure.microsoft.com/en-us/services</w:t>
        </w:r>
      </w:hyperlink>
      <w:r>
        <w:t>, exceto quando identificados como licenciados separadamente.</w:t>
      </w:r>
    </w:p>
    <w:p w:rsidR="009616E2" w:rsidRPr="00F23668" w:rsidRDefault="009616E2" w:rsidP="00272578">
      <w:pPr>
        <w:pStyle w:val="ProductList-Body"/>
        <w:rPr>
          <w:sz w:val="16"/>
          <w:szCs w:val="16"/>
        </w:rPr>
      </w:pPr>
    </w:p>
    <w:p w:rsidR="009616E2" w:rsidRPr="00B810D0" w:rsidRDefault="00272578" w:rsidP="00927DFB">
      <w:pPr>
        <w:pStyle w:val="ProductList-Body"/>
      </w:pPr>
      <w:r>
        <w:rPr>
          <w:b/>
          <w:color w:val="00188F"/>
        </w:rPr>
        <w:t>Limitações</w:t>
      </w:r>
    </w:p>
    <w:p w:rsidR="00272578" w:rsidRPr="00B810D0" w:rsidRDefault="00272578" w:rsidP="00F23668">
      <w:pPr>
        <w:pStyle w:val="ProductList-Body"/>
      </w:pPr>
      <w:r>
        <w:t>O Cliente não poderá</w:t>
      </w:r>
    </w:p>
    <w:p w:rsidR="00272578" w:rsidRPr="00B810D0" w:rsidRDefault="00272578" w:rsidP="00F23668">
      <w:pPr>
        <w:pStyle w:val="ProductList-Body"/>
        <w:numPr>
          <w:ilvl w:val="0"/>
          <w:numId w:val="10"/>
        </w:numPr>
        <w:ind w:left="450" w:hanging="270"/>
      </w:pPr>
      <w:r>
        <w:t>revender nem redistribuir os Serviços Microsoft Azure ou</w:t>
      </w:r>
    </w:p>
    <w:p w:rsidR="00272578" w:rsidRPr="00B810D0" w:rsidRDefault="00272578" w:rsidP="00F23668">
      <w:pPr>
        <w:pStyle w:val="ProductList-Body"/>
        <w:numPr>
          <w:ilvl w:val="0"/>
          <w:numId w:val="10"/>
        </w:numPr>
        <w:spacing w:before="40"/>
        <w:ind w:left="450" w:hanging="263"/>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rsidR="009616E2" w:rsidRPr="00F23668" w:rsidRDefault="009616E2" w:rsidP="00272578">
      <w:pPr>
        <w:pStyle w:val="ProductList-Body"/>
        <w:rPr>
          <w:sz w:val="16"/>
          <w:szCs w:val="16"/>
        </w:rPr>
      </w:pPr>
    </w:p>
    <w:p w:rsidR="009616E2" w:rsidRPr="00B810D0" w:rsidRDefault="00272578" w:rsidP="00927DFB">
      <w:pPr>
        <w:pStyle w:val="ProductList-Body"/>
      </w:pPr>
      <w:r>
        <w:rPr>
          <w:b/>
          <w:color w:val="00188F"/>
        </w:rPr>
        <w:t>Desativação de Serviços ou Recursos</w:t>
      </w:r>
    </w:p>
    <w:p w:rsidR="00272578" w:rsidRPr="00B810D0"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rsidR="009616E2" w:rsidRPr="00F23668" w:rsidRDefault="009616E2" w:rsidP="00272578">
      <w:pPr>
        <w:pStyle w:val="ProductList-Body"/>
        <w:rPr>
          <w:sz w:val="16"/>
          <w:szCs w:val="16"/>
        </w:rPr>
      </w:pPr>
    </w:p>
    <w:p w:rsidR="009616E2" w:rsidRPr="00B810D0" w:rsidRDefault="002A3B84" w:rsidP="00927DFB">
      <w:pPr>
        <w:pStyle w:val="ProductList-Body"/>
      </w:pPr>
      <w:r>
        <w:rPr>
          <w:b/>
          <w:color w:val="00188F"/>
        </w:rPr>
        <w:t>Retenção de Dados após o Término ou a Rescisão</w:t>
      </w:r>
    </w:p>
    <w:p w:rsidR="00272578" w:rsidRPr="00B810D0" w:rsidRDefault="00272578" w:rsidP="00272578">
      <w:pPr>
        <w:pStyle w:val="ProductList-Body"/>
      </w:pPr>
      <w:r>
        <w:t>O término ou a rescisão da assinatura de Serviços Online do Cliente não alterarão a obrigação deste de pagar pela hospedagem dos Dados do Cliente durante qualquer Prazo Estendido.</w:t>
      </w:r>
    </w:p>
    <w:p w:rsidR="009616E2" w:rsidRPr="00F23668" w:rsidRDefault="009616E2" w:rsidP="00272578">
      <w:pPr>
        <w:pStyle w:val="ProductList-Body"/>
        <w:rPr>
          <w:sz w:val="16"/>
          <w:szCs w:val="16"/>
        </w:rPr>
      </w:pPr>
    </w:p>
    <w:p w:rsidR="009616E2" w:rsidRPr="00B810D0" w:rsidRDefault="00272578" w:rsidP="00927DFB">
      <w:pPr>
        <w:pStyle w:val="ProductList-Body"/>
      </w:pPr>
      <w:r>
        <w:rPr>
          <w:b/>
          <w:color w:val="00188F"/>
        </w:rPr>
        <w:t>Exceção de Hospedagem</w:t>
      </w:r>
    </w:p>
    <w:p w:rsidR="00272578" w:rsidRPr="00B810D0"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rsidR="00186BF6" w:rsidRPr="00F23668" w:rsidRDefault="00186BF6" w:rsidP="00272578">
      <w:pPr>
        <w:pStyle w:val="ProductList-Body"/>
        <w:rPr>
          <w:sz w:val="16"/>
          <w:szCs w:val="16"/>
        </w:rPr>
      </w:pPr>
    </w:p>
    <w:p w:rsidR="00186BF6" w:rsidRPr="00B810D0" w:rsidRDefault="00186BF6" w:rsidP="00272578">
      <w:pPr>
        <w:pStyle w:val="ProductList-Body"/>
      </w:pPr>
      <w:r>
        <w:rPr>
          <w:b/>
          <w:color w:val="00188F"/>
        </w:rPr>
        <w:t>Exceção do Serviço Gerenciado</w:t>
      </w:r>
    </w:p>
    <w:p w:rsidR="00186BF6" w:rsidRPr="00B810D0" w:rsidRDefault="00186BF6" w:rsidP="00272578">
      <w:pPr>
        <w:pStyle w:val="ProductList-Body"/>
      </w:pPr>
      <w:r>
        <w:t>O Cliente poderá fornecer uma Solução de Serviço Gerenciado desde que (i) só ele possa acessar, configurar e administrar os Serviços do Microsoft Azure, (ii) ele tenha acesso administrativo aos OSE(s) virtual(ais), se houver, na Solução de Serviço Gerenciado e (iii) o terceiro tenha acesso administrativo somente ao(s) seu(s) aplicativo(s) ou OSE(s) virtual(is).</w:t>
      </w:r>
      <w:r w:rsidR="006573C2">
        <w:t xml:space="preserve"> </w:t>
      </w:r>
      <w:r>
        <w:t>O Cliente é responsável por garantir que o uso feito pelo terceiro dos Serviços do Microsoft Azure esteja de acordo com os termos do contrato de licenciamento por volume.</w:t>
      </w:r>
    </w:p>
    <w:p w:rsidR="009616E2" w:rsidRPr="00F23668" w:rsidRDefault="009616E2" w:rsidP="00272578">
      <w:pPr>
        <w:pStyle w:val="ProductList-Body"/>
        <w:rPr>
          <w:sz w:val="16"/>
          <w:szCs w:val="16"/>
        </w:rPr>
      </w:pPr>
    </w:p>
    <w:p w:rsidR="009616E2" w:rsidRPr="00B810D0" w:rsidRDefault="00272578" w:rsidP="00927DFB">
      <w:pPr>
        <w:pStyle w:val="ProductList-Body"/>
      </w:pPr>
      <w:r>
        <w:rPr>
          <w:b/>
          <w:color w:val="00188F"/>
        </w:rPr>
        <w:t>Máquinas Virtuais</w:t>
      </w:r>
    </w:p>
    <w:p w:rsidR="00272578" w:rsidRPr="00B810D0" w:rsidRDefault="00272578" w:rsidP="00272578">
      <w:pPr>
        <w:pStyle w:val="ProductList-Body"/>
      </w:pPr>
      <w:r>
        <w:t xml:space="preserve">Os Serviços do Microsoft Azure podem fornecer ao Cliente a opção de executar o Windows Server e outros programas de software da Microsoft em uma Máquina Virtual. O Cliente concorda em assegurar os direitos necessários para executar todo o software (incluindo o sistema operacional) em suas Máquinas Virtuais. O Cliente poderá usar esse software somente nos Serviços do Microsoft Azure e apenas em conexão com o uso permitido por parte do Cliente de qualquer função aplicável do Microsoft Azure e em concordância com os Termos Universais e Gerais para o software detalhados no documento Direitos de Uso de Produto, encontrado no site </w:t>
      </w:r>
      <w:hyperlink r:id="rId30" w:history="1">
        <w:r>
          <w:rPr>
            <w:rStyle w:val="Hyperlink"/>
          </w:rPr>
          <w:t>http://go.microsoft.com/?linkid=9839206</w:t>
        </w:r>
      </w:hyperlink>
      <w:r>
        <w:t xml:space="preserve"> ou em seu site sucessor.</w:t>
      </w:r>
    </w:p>
    <w:p w:rsidR="009616E2" w:rsidRPr="00F23668" w:rsidRDefault="009616E2" w:rsidP="00272578">
      <w:pPr>
        <w:pStyle w:val="ProductList-Body"/>
        <w:rPr>
          <w:sz w:val="10"/>
          <w:szCs w:val="10"/>
        </w:rPr>
      </w:pPr>
    </w:p>
    <w:p w:rsidR="009616E2" w:rsidRPr="00B810D0" w:rsidRDefault="00272578" w:rsidP="00927DFB">
      <w:pPr>
        <w:pStyle w:val="ProductList-Body"/>
      </w:pPr>
      <w:r>
        <w:rPr>
          <w:b/>
          <w:color w:val="00188F"/>
        </w:rPr>
        <w:t>Compartilhamento</w:t>
      </w:r>
    </w:p>
    <w:p w:rsidR="00272578" w:rsidRPr="00B810D0" w:rsidRDefault="00272578" w:rsidP="00272578">
      <w:pPr>
        <w:pStyle w:val="ProductList-Body"/>
      </w:pPr>
      <w:r>
        <w:t>Os Serviços do Microsoft Azure podem fornecer a capacidade de compartilhar uma Solução do Cliente e/ou Dados do Cliente com outros usuários e</w:t>
      </w:r>
      <w:r w:rsidR="00643157">
        <w:t> </w:t>
      </w:r>
      <w:r>
        <w:t>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rsidR="009616E2" w:rsidRPr="0021539D" w:rsidRDefault="009616E2" w:rsidP="00272578">
      <w:pPr>
        <w:pStyle w:val="ProductList-Body"/>
        <w:rPr>
          <w:sz w:val="16"/>
          <w:szCs w:val="16"/>
        </w:rPr>
      </w:pPr>
    </w:p>
    <w:p w:rsidR="009616E2" w:rsidRPr="00B810D0" w:rsidRDefault="009616E2" w:rsidP="00927DFB">
      <w:pPr>
        <w:pStyle w:val="ProductList-Body"/>
      </w:pPr>
      <w:r>
        <w:rPr>
          <w:b/>
          <w:color w:val="00188F"/>
        </w:rPr>
        <w:t>Serviços de Importação/Exportação</w:t>
      </w:r>
    </w:p>
    <w:p w:rsidR="00272578" w:rsidRPr="00B810D0" w:rsidRDefault="00272578" w:rsidP="0088164F">
      <w:pPr>
        <w:pStyle w:val="ProductList-Body"/>
        <w:spacing w:after="120"/>
      </w:pPr>
      <w:r>
        <w:t xml:space="preserve">O uso que o Cliente faz do Serviço de Importação/Exportação está condicionado à sua conformidade com todas as instruções fornecidas pela Microsoft com relação à preparação, ao tratamento e à remessa de mídia física contendo seus dados (mídia de armazenamento), que serão fornecidos por email ou no site </w:t>
      </w:r>
      <w:hyperlink r:id="rId31" w:history="1">
        <w:r>
          <w:rPr>
            <w:rStyle w:val="Hyperlink"/>
          </w:rPr>
          <w:t>www.go.microsoft.com/fwlink/?linkid=301900&amp;CLCID=0X409</w:t>
        </w:r>
      </w:hyperlink>
      <w:r>
        <w:t>. O Cliente é o único responsável por garantir que a</w:t>
      </w:r>
      <w:r w:rsidR="00643157">
        <w:t> </w:t>
      </w:r>
      <w:r>
        <w:t xml:space="preserve">mídia de armazenamento e os dados sejam fornecidos em conformidade com todas as leis e os regulamentos. Toda a mídia de armazenamento recebida será enviada ao Data Center DAP Microsoft DCS (INCOTERMS 2010). A mídia de armazenamento exportada será enviada à doca do cliente DAP (INCOTERMS 2010). O Cliente é responsável por garantir que os dados exportados em uma mídia de armazenamento possam ser enviados ao local fornecido pelo Cliente. </w:t>
      </w:r>
    </w:p>
    <w:p w:rsidR="00272578" w:rsidRPr="00B810D0" w:rsidRDefault="00272578" w:rsidP="00272578">
      <w:pPr>
        <w:pStyle w:val="ProductList-Body"/>
      </w:pPr>
      <w:r>
        <w:t>O Cliente concorda que a Microsoft não tem obrigação fiscal relativa à mídia de armazenamento e aos dados nela contidos e não tem responsabilidade por mídias de armazenamento perdidas, danificadas ou destruídas. O Cliente é o único responsável por tomar precauções para</w:t>
      </w:r>
      <w:r w:rsidR="00643157">
        <w:t> </w:t>
      </w:r>
      <w:r>
        <w:t>proteger a mídia de armazenamento e os dados nela contidos, inclusive, entre outros: dados de criptografia, empacotamento à prova de</w:t>
      </w:r>
      <w:r w:rsidR="00643157">
        <w:t> </w:t>
      </w:r>
      <w:r>
        <w:t>falsificação, seguro de envio, backup de dados e redundância de dados.</w:t>
      </w:r>
    </w:p>
    <w:p w:rsidR="009616E2" w:rsidRPr="0021539D" w:rsidRDefault="009616E2" w:rsidP="00272578">
      <w:pPr>
        <w:pStyle w:val="ProductList-Body"/>
        <w:rPr>
          <w:sz w:val="16"/>
          <w:szCs w:val="16"/>
        </w:rPr>
      </w:pPr>
    </w:p>
    <w:p w:rsidR="009616E2" w:rsidRPr="00B810D0" w:rsidRDefault="009616E2" w:rsidP="00927DFB">
      <w:pPr>
        <w:pStyle w:val="ProductList-Body"/>
      </w:pPr>
      <w:r>
        <w:rPr>
          <w:b/>
          <w:color w:val="00188F"/>
        </w:rPr>
        <w:t>Serviço Store</w:t>
      </w:r>
    </w:p>
    <w:p w:rsidR="000E6ED8" w:rsidRPr="00B810D0" w:rsidRDefault="00272578" w:rsidP="00272578">
      <w:pPr>
        <w:pStyle w:val="ProductList-Body"/>
      </w:pPr>
      <w:r>
        <w:t>O Microsoft Azure permite que o Cliente acesse ou compre Produtos que Não Sejam da Microsoft por meio de recursos como a Microsoft Azure Store e a Galeria de Máquinas Virtuais, condicionado a termos separados fornecidos por meio desses recursos.</w:t>
      </w:r>
    </w:p>
    <w:p w:rsidR="003D22CB" w:rsidRPr="00B810D0" w:rsidRDefault="00EA64EF" w:rsidP="003D22CB">
      <w:pPr>
        <w:pStyle w:val="ProductList-Body"/>
        <w:shd w:val="clear" w:color="auto" w:fill="A6A6A6" w:themeFill="background1" w:themeFillShade="A6"/>
        <w:spacing w:before="120" w:after="240"/>
        <w:jc w:val="right"/>
      </w:pPr>
      <w:hyperlink w:anchor="TableofContents" w:history="1">
        <w:r w:rsidR="00F23668">
          <w:rPr>
            <w:rStyle w:val="Hyperlink"/>
            <w:sz w:val="16"/>
            <w:szCs w:val="16"/>
          </w:rPr>
          <w:t>Sumário</w:t>
        </w:r>
      </w:hyperlink>
      <w:r w:rsidR="00600D17">
        <w:rPr>
          <w:sz w:val="16"/>
          <w:szCs w:val="16"/>
        </w:rPr>
        <w:t>/</w:t>
      </w:r>
      <w:hyperlink w:anchor="GeneralTerms" w:history="1">
        <w:r w:rsidR="00600D17">
          <w:rPr>
            <w:rStyle w:val="Hyperlink"/>
            <w:sz w:val="16"/>
            <w:szCs w:val="16"/>
          </w:rPr>
          <w:t>Termos Gerais</w:t>
        </w:r>
      </w:hyperlink>
      <w:r w:rsidR="00600D17">
        <w:t xml:space="preserve"> </w:t>
      </w:r>
    </w:p>
    <w:p w:rsidR="000E6ED8" w:rsidRPr="00B810D0" w:rsidRDefault="003D22CB" w:rsidP="00233C87">
      <w:pPr>
        <w:pStyle w:val="ProductList-Offering1Heading"/>
        <w:outlineLvl w:val="1"/>
      </w:pPr>
      <w:bookmarkStart w:id="51" w:name="_Toc391645809"/>
      <w:r>
        <w:t>Microsoft Dynamics Online</w:t>
      </w:r>
      <w:bookmarkEnd w:id="51"/>
    </w:p>
    <w:p w:rsidR="00E275D6" w:rsidRDefault="00E275D6" w:rsidP="004E52BA">
      <w:pPr>
        <w:pStyle w:val="ProductList-Offering1"/>
        <w:sectPr w:rsidR="00E275D6" w:rsidSect="00A61B2A">
          <w:footerReference w:type="default" r:id="rId32"/>
          <w:footerReference w:type="first" r:id="rId33"/>
          <w:pgSz w:w="12240" w:h="15840"/>
          <w:pgMar w:top="1440" w:right="720" w:bottom="1440" w:left="720" w:header="720" w:footer="720" w:gutter="0"/>
          <w:cols w:space="720"/>
          <w:titlePg/>
          <w:docGrid w:linePitch="360"/>
        </w:sectPr>
      </w:pPr>
    </w:p>
    <w:p w:rsidR="001B497B" w:rsidRPr="00B810D0" w:rsidRDefault="001B497B" w:rsidP="00EF1E73">
      <w:pPr>
        <w:pStyle w:val="ProductList-Body"/>
      </w:pPr>
      <w:r>
        <w:rPr>
          <w:rFonts w:asciiTheme="majorHAnsi" w:hAnsiTheme="majorHAnsi"/>
          <w:sz w:val="16"/>
          <w:szCs w:val="16"/>
        </w:rPr>
        <w:t>Microsoft Dynamics CRM Online Essentials</w:t>
      </w:r>
    </w:p>
    <w:p w:rsidR="001B497B" w:rsidRPr="00B810D0" w:rsidRDefault="001B497B" w:rsidP="00EF1E73">
      <w:pPr>
        <w:pStyle w:val="ProductList-Body"/>
      </w:pPr>
      <w:r>
        <w:rPr>
          <w:rFonts w:asciiTheme="majorHAnsi" w:hAnsiTheme="majorHAnsi"/>
          <w:sz w:val="16"/>
          <w:szCs w:val="16"/>
        </w:rPr>
        <w:t>Microsoft Dynamics CRM Online Basic</w:t>
      </w:r>
    </w:p>
    <w:p w:rsidR="001B497B" w:rsidRPr="00B810D0" w:rsidRDefault="001B497B" w:rsidP="00EF1E73">
      <w:pPr>
        <w:pStyle w:val="ProductList-Body"/>
      </w:pPr>
      <w:r>
        <w:rPr>
          <w:rFonts w:asciiTheme="majorHAnsi" w:hAnsiTheme="majorHAnsi"/>
          <w:sz w:val="16"/>
          <w:szCs w:val="16"/>
        </w:rPr>
        <w:t>Microsoft Dynamics CRM Online Professional</w:t>
      </w:r>
    </w:p>
    <w:p w:rsidR="001B497B" w:rsidRPr="00B810D0" w:rsidRDefault="001B497B" w:rsidP="00EF1E73">
      <w:pPr>
        <w:pStyle w:val="ProductList-Body"/>
      </w:pPr>
      <w:r>
        <w:rPr>
          <w:rFonts w:asciiTheme="majorHAnsi" w:hAnsiTheme="majorHAnsi"/>
          <w:sz w:val="16"/>
          <w:szCs w:val="16"/>
        </w:rPr>
        <w:t>Microsoft Dynamics CRM Online Enterprise</w:t>
      </w:r>
    </w:p>
    <w:p w:rsidR="001B497B" w:rsidRPr="00B810D0" w:rsidRDefault="001B497B" w:rsidP="00EF1E73">
      <w:pPr>
        <w:pStyle w:val="ProductList-Body"/>
      </w:pPr>
      <w:r>
        <w:rPr>
          <w:rFonts w:asciiTheme="majorHAnsi" w:hAnsiTheme="majorHAnsi"/>
          <w:sz w:val="16"/>
          <w:szCs w:val="16"/>
        </w:rPr>
        <w:t>Microsoft Dynamics Marketing Enterprise</w:t>
      </w:r>
    </w:p>
    <w:p w:rsidR="00E275D6" w:rsidRDefault="001B497B" w:rsidP="00EF1E73">
      <w:pPr>
        <w:pStyle w:val="ProductList-Body"/>
        <w:sectPr w:rsidR="00E275D6" w:rsidSect="00E275D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Social Listening Professional</w:t>
      </w:r>
    </w:p>
    <w:p w:rsidR="000A5E8A" w:rsidRPr="00326AD0" w:rsidRDefault="000A5E8A" w:rsidP="000A5E8A">
      <w:pPr>
        <w:pStyle w:val="ProductList-Body"/>
        <w:pBdr>
          <w:top w:val="single" w:sz="4" w:space="1" w:color="BFBFBF" w:themeColor="background1" w:themeShade="BF"/>
        </w:pBdr>
        <w:rPr>
          <w:b/>
          <w:color w:val="000000" w:themeColor="text1"/>
          <w:sz w:val="8"/>
          <w:szCs w:val="8"/>
        </w:rPr>
      </w:pPr>
    </w:p>
    <w:p w:rsidR="00CC34E7" w:rsidRPr="00B810D0" w:rsidRDefault="00CC34E7" w:rsidP="000A5E8A">
      <w:pPr>
        <w:pStyle w:val="ProductList-Body"/>
        <w:tabs>
          <w:tab w:val="clear" w:pos="158"/>
          <w:tab w:val="left" w:pos="360"/>
        </w:tabs>
      </w:pPr>
      <w:r>
        <w:rPr>
          <w:b/>
          <w:color w:val="00188F"/>
        </w:rPr>
        <w:t>Notificações</w:t>
      </w:r>
    </w:p>
    <w:p w:rsidR="00CC34E7" w:rsidRPr="00B810D0" w:rsidRDefault="000E3993" w:rsidP="00EF1E73">
      <w:pPr>
        <w:pStyle w:val="ProductList-Body"/>
      </w:pPr>
      <w:r>
        <w:t xml:space="preserve">As Notificações sobre o Bing Mapas e o Atendimento ao Cliente contidos no </w:t>
      </w:r>
      <w:hyperlink w:anchor="Attachment1" w:history="1">
        <w:r>
          <w:rPr>
            <w:rStyle w:val="Hyperlink"/>
          </w:rPr>
          <w:t>Anexo 1</w:t>
        </w:r>
      </w:hyperlink>
      <w:r>
        <w:t xml:space="preserve"> são aplicáveis.</w:t>
      </w:r>
    </w:p>
    <w:p w:rsidR="00CC34E7" w:rsidRPr="0021539D" w:rsidRDefault="00CC34E7" w:rsidP="00EF1E73">
      <w:pPr>
        <w:pStyle w:val="ProductList-Body"/>
        <w:rPr>
          <w:sz w:val="16"/>
          <w:szCs w:val="16"/>
        </w:rPr>
      </w:pPr>
    </w:p>
    <w:p w:rsidR="001B497B" w:rsidRPr="00B810D0" w:rsidRDefault="001B497B" w:rsidP="000A5E8A">
      <w:pPr>
        <w:pStyle w:val="ProductList-Body"/>
        <w:tabs>
          <w:tab w:val="clear" w:pos="158"/>
          <w:tab w:val="left" w:pos="360"/>
        </w:tabs>
      </w:pPr>
      <w:r>
        <w:rPr>
          <w:b/>
          <w:color w:val="00188F"/>
        </w:rPr>
        <w:t>Usuários Externos</w:t>
      </w:r>
    </w:p>
    <w:p w:rsidR="001B497B" w:rsidRPr="00B810D0" w:rsidRDefault="001B497B" w:rsidP="000A5E8A">
      <w:pPr>
        <w:pStyle w:val="ProductList-Body"/>
        <w:tabs>
          <w:tab w:val="clear" w:pos="158"/>
          <w:tab w:val="left" w:pos="360"/>
        </w:tabs>
      </w:pPr>
      <w:r>
        <w:t>Os Usuários Externos de todas as edições do Microsoft Dynamics Online não precisam de SLs obrigatórias para acessar o Serviço Online a menos que estejam usando clientes do Microsoft Dynamics CRM.</w:t>
      </w:r>
    </w:p>
    <w:p w:rsidR="001B497B" w:rsidRPr="0021539D" w:rsidRDefault="001B497B" w:rsidP="0021539D">
      <w:pPr>
        <w:pStyle w:val="ProductList-Body"/>
        <w:tabs>
          <w:tab w:val="clear" w:pos="158"/>
          <w:tab w:val="left" w:pos="360"/>
        </w:tabs>
        <w:rPr>
          <w:sz w:val="16"/>
          <w:szCs w:val="16"/>
        </w:rPr>
      </w:pPr>
    </w:p>
    <w:p w:rsidR="001B497B" w:rsidRPr="00B810D0" w:rsidRDefault="001B497B" w:rsidP="000A5E8A">
      <w:pPr>
        <w:pStyle w:val="ProductList-Body"/>
        <w:tabs>
          <w:tab w:val="clear" w:pos="158"/>
          <w:tab w:val="left" w:pos="360"/>
        </w:tabs>
      </w:pPr>
      <w:r>
        <w:rPr>
          <w:b/>
          <w:color w:val="00188F"/>
        </w:rPr>
        <w:t>SLs Complementares de Instância</w:t>
      </w:r>
    </w:p>
    <w:p w:rsidR="001B497B" w:rsidRPr="00B810D0" w:rsidRDefault="001B497B" w:rsidP="000A5E8A">
      <w:pPr>
        <w:pStyle w:val="ProductList-Body"/>
        <w:tabs>
          <w:tab w:val="clear" w:pos="158"/>
          <w:tab w:val="left" w:pos="360"/>
        </w:tabs>
      </w:pPr>
      <w:r>
        <w:t>São necessárias SLs Complementares de Instância para todas as edições do Microsoft Dynamics Online para o seguinte:</w:t>
      </w:r>
    </w:p>
    <w:p w:rsidR="001B497B" w:rsidRPr="00B810D0" w:rsidRDefault="001B497B" w:rsidP="000A5E8A">
      <w:pPr>
        <w:pStyle w:val="ProductList-Body"/>
        <w:numPr>
          <w:ilvl w:val="0"/>
          <w:numId w:val="12"/>
        </w:numPr>
        <w:tabs>
          <w:tab w:val="clear" w:pos="158"/>
          <w:tab w:val="left" w:pos="180"/>
        </w:tabs>
        <w:ind w:left="450" w:hanging="270"/>
      </w:pPr>
      <w:r>
        <w:t>cada Instância de produção além da fornecida com a edição Essential do Serviço Online ou a Instância fornecida com as edições Basic</w:t>
      </w:r>
      <w:r w:rsidR="00643157">
        <w:t> </w:t>
      </w:r>
      <w:r>
        <w:t>e</w:t>
      </w:r>
      <w:r w:rsidR="00643157">
        <w:t> </w:t>
      </w:r>
      <w:r>
        <w:t>Professional e</w:t>
      </w:r>
    </w:p>
    <w:p w:rsidR="001B497B" w:rsidRPr="00B810D0" w:rsidRDefault="001B497B" w:rsidP="000A5E8A">
      <w:pPr>
        <w:pStyle w:val="ProductList-Body"/>
        <w:numPr>
          <w:ilvl w:val="0"/>
          <w:numId w:val="12"/>
        </w:numPr>
        <w:tabs>
          <w:tab w:val="clear" w:pos="158"/>
          <w:tab w:val="left" w:pos="180"/>
        </w:tabs>
        <w:spacing w:before="40"/>
        <w:ind w:left="450" w:hanging="274"/>
      </w:pPr>
      <w:r>
        <w:t>cada Instância que não seja de produção fornecida com o Serviço Online.</w:t>
      </w:r>
    </w:p>
    <w:p w:rsidR="001B497B" w:rsidRPr="0021539D" w:rsidRDefault="001B497B" w:rsidP="000A5E8A">
      <w:pPr>
        <w:pStyle w:val="ProductList-Body"/>
        <w:tabs>
          <w:tab w:val="clear" w:pos="158"/>
          <w:tab w:val="left" w:pos="360"/>
        </w:tabs>
        <w:rPr>
          <w:sz w:val="16"/>
          <w:szCs w:val="16"/>
        </w:rPr>
      </w:pPr>
    </w:p>
    <w:p w:rsidR="001B497B" w:rsidRPr="00B810D0" w:rsidRDefault="001B497B" w:rsidP="000A5E8A">
      <w:pPr>
        <w:pStyle w:val="ProductList-Body"/>
        <w:tabs>
          <w:tab w:val="clear" w:pos="158"/>
          <w:tab w:val="left" w:pos="360"/>
        </w:tabs>
      </w:pPr>
      <w:r>
        <w:rPr>
          <w:b/>
          <w:color w:val="00188F"/>
        </w:rPr>
        <w:t>SL Complementar de Armazenamento</w:t>
      </w:r>
    </w:p>
    <w:p w:rsidR="001B497B" w:rsidRPr="00B810D0" w:rsidRDefault="001B497B" w:rsidP="000A5E8A">
      <w:pPr>
        <w:pStyle w:val="ProductList-Body"/>
        <w:tabs>
          <w:tab w:val="clear" w:pos="158"/>
          <w:tab w:val="left" w:pos="360"/>
        </w:tabs>
      </w:pPr>
      <w:r>
        <w:t>São necessárias SLs Complementares de Armazenamento para todas as edições do Microsoft Dynamics Online para cada gigabyte de armazenamento além do fornecido com o Serviço Online. Para as edições Professional e Enterprise, são necessárias SLs Complementares de</w:t>
      </w:r>
      <w:r w:rsidR="00643157">
        <w:t> </w:t>
      </w:r>
      <w:r>
        <w:t>Armazenamento para impressões ou documentos adicionais por mês além das 10.000 impressões ou documentos/mês.</w:t>
      </w:r>
    </w:p>
    <w:p w:rsidR="001B497B" w:rsidRPr="0021539D" w:rsidRDefault="001B497B" w:rsidP="000A5E8A">
      <w:pPr>
        <w:pStyle w:val="ProductList-Body"/>
        <w:tabs>
          <w:tab w:val="clear" w:pos="158"/>
          <w:tab w:val="left" w:pos="360"/>
        </w:tabs>
        <w:rPr>
          <w:sz w:val="16"/>
          <w:szCs w:val="16"/>
        </w:rPr>
      </w:pPr>
    </w:p>
    <w:p w:rsidR="001B497B" w:rsidRPr="00B810D0" w:rsidRDefault="000B0627" w:rsidP="000A5E8A">
      <w:pPr>
        <w:pStyle w:val="ProductList-Body"/>
        <w:tabs>
          <w:tab w:val="clear" w:pos="158"/>
          <w:tab w:val="left" w:pos="360"/>
        </w:tabs>
      </w:pPr>
      <w:r>
        <w:rPr>
          <w:b/>
          <w:color w:val="00188F"/>
        </w:rPr>
        <w:t>Conteúdo Social Obtido por meio do Microsoft Social Listening</w:t>
      </w:r>
    </w:p>
    <w:p w:rsidR="001B497B" w:rsidRPr="00B810D0" w:rsidRDefault="001B497B" w:rsidP="000A5E8A">
      <w:pPr>
        <w:pStyle w:val="ProductList-Body"/>
        <w:tabs>
          <w:tab w:val="clear" w:pos="158"/>
          <w:tab w:val="left" w:pos="360"/>
        </w:tabs>
      </w:pPr>
      <w:r>
        <w:t>Conteúdo Social é conteúdo publicamente disponível, coletado de redes de mídia social (como Twitter, Facebook e YouTube) e serviços de indexação ou agregação de dados em resposta a consultas de pesquisa do Cliente executadas no Microsoft Social Listening. Conteúdo Social não</w:t>
      </w:r>
      <w:r w:rsidR="0021539D">
        <w:t> </w:t>
      </w:r>
      <w:r>
        <w:t>são Dados do Cliente. A Microsoft reserva-se o direito de:</w:t>
      </w:r>
    </w:p>
    <w:p w:rsidR="001B497B" w:rsidRPr="00B810D0" w:rsidRDefault="001B497B" w:rsidP="000A5E8A">
      <w:pPr>
        <w:pStyle w:val="ProductList-Body"/>
        <w:numPr>
          <w:ilvl w:val="0"/>
          <w:numId w:val="13"/>
        </w:numPr>
        <w:ind w:left="450" w:hanging="270"/>
      </w:pPr>
      <w:r>
        <w:t xml:space="preserve">armazenar Conteúdo Social em um banco de dados misturado com conteúdo agregado de outras fontes por outros licenciados; </w:t>
      </w:r>
    </w:p>
    <w:p w:rsidR="001B497B" w:rsidRPr="00B810D0" w:rsidRDefault="001B497B" w:rsidP="000A5E8A">
      <w:pPr>
        <w:pStyle w:val="ProductList-Body"/>
        <w:numPr>
          <w:ilvl w:val="0"/>
          <w:numId w:val="13"/>
        </w:numPr>
        <w:spacing w:before="40"/>
        <w:ind w:left="45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rsidR="001B497B" w:rsidRPr="00B810D0" w:rsidRDefault="000B0627" w:rsidP="000A5E8A">
      <w:pPr>
        <w:pStyle w:val="ProductList-Body"/>
        <w:numPr>
          <w:ilvl w:val="0"/>
          <w:numId w:val="13"/>
        </w:numPr>
        <w:spacing w:before="40"/>
        <w:ind w:left="450" w:hanging="274"/>
      </w:pPr>
      <w:r>
        <w:t>instruir o Cliente a editar ou excluir Conteúdo Social se ele exportar Conteúdo Social e</w:t>
      </w:r>
    </w:p>
    <w:p w:rsidR="001B497B" w:rsidRPr="00B810D0" w:rsidRDefault="001B497B" w:rsidP="000A5E8A">
      <w:pPr>
        <w:pStyle w:val="ProductList-Body"/>
        <w:numPr>
          <w:ilvl w:val="0"/>
          <w:numId w:val="13"/>
        </w:numPr>
        <w:spacing w:before="40"/>
        <w:ind w:left="450" w:hanging="274"/>
      </w:pPr>
      <w:r>
        <w:t xml:space="preserve">excluir ou restringir acesso ao Conteúdo Social depois que o Serviço Online tiver terminado ou expirar. </w:t>
      </w:r>
    </w:p>
    <w:p w:rsidR="001B497B" w:rsidRPr="0021539D" w:rsidRDefault="001B497B" w:rsidP="001B497B">
      <w:pPr>
        <w:pStyle w:val="ProductList-Body"/>
        <w:rPr>
          <w:sz w:val="6"/>
          <w:szCs w:val="6"/>
        </w:rPr>
      </w:pPr>
    </w:p>
    <w:p w:rsidR="001B497B" w:rsidRPr="00B810D0" w:rsidRDefault="001B497B" w:rsidP="001B497B">
      <w:pPr>
        <w:pStyle w:val="ProductList-Body"/>
      </w:pPr>
      <w:r>
        <w:rPr>
          <w:b/>
          <w:color w:val="00188F"/>
        </w:rPr>
        <w:t xml:space="preserve">Os termos a seguir aplicam-se apenas ao Microsoft Dynamics Online Services Específico conforme indicado: </w:t>
      </w:r>
    </w:p>
    <w:p w:rsidR="00CC34E7" w:rsidRPr="00B810D0" w:rsidRDefault="00CC34E7" w:rsidP="00CC34E7">
      <w:pPr>
        <w:pStyle w:val="ProductList-Body"/>
        <w:ind w:left="180"/>
      </w:pPr>
      <w:r>
        <w:rPr>
          <w:b/>
          <w:color w:val="0072C6"/>
        </w:rPr>
        <w:t>Contrato de Nível de Serviço</w:t>
      </w:r>
    </w:p>
    <w:p w:rsidR="00CC34E7" w:rsidRPr="00B810D0" w:rsidRDefault="00CC34E7" w:rsidP="00CC34E7">
      <w:pPr>
        <w:pStyle w:val="ProductList-Body"/>
        <w:ind w:left="180"/>
      </w:pPr>
      <w:r>
        <w:t>Não há nenhum Contrato de Nível de Serviço para o Microsoft Social Listening ou Microsoft Dynamics Marketing.</w:t>
      </w:r>
    </w:p>
    <w:p w:rsidR="00CC34E7" w:rsidRPr="0021539D" w:rsidRDefault="00CC34E7" w:rsidP="00CC34E7">
      <w:pPr>
        <w:pStyle w:val="ProductList-Body"/>
        <w:rPr>
          <w:sz w:val="16"/>
          <w:szCs w:val="16"/>
        </w:rPr>
      </w:pPr>
    </w:p>
    <w:p w:rsidR="00CC34E7" w:rsidRPr="00B810D0" w:rsidRDefault="00CC34E7" w:rsidP="00CC34E7">
      <w:pPr>
        <w:pStyle w:val="ProductList-Body"/>
        <w:ind w:left="180"/>
      </w:pPr>
      <w:r>
        <w:rPr>
          <w:b/>
          <w:color w:val="0072C6"/>
        </w:rPr>
        <w:t>Direitos Adicionais com Determinadas SLs</w:t>
      </w:r>
    </w:p>
    <w:p w:rsidR="001B497B" w:rsidRPr="00B810D0" w:rsidRDefault="001B497B" w:rsidP="004E52BA">
      <w:pPr>
        <w:pStyle w:val="ProductList-Body"/>
        <w:numPr>
          <w:ilvl w:val="0"/>
          <w:numId w:val="14"/>
        </w:numPr>
        <w:ind w:left="720" w:hanging="270"/>
      </w:pPr>
      <w:r>
        <w:t>Usuários com uma SL para Microsoft Dynamics Online Enterprise poderão usar o Microsoft Dynamics Marketing.</w:t>
      </w:r>
    </w:p>
    <w:p w:rsidR="003D22CB" w:rsidRPr="00B810D0" w:rsidRDefault="001B497B" w:rsidP="0088164F">
      <w:pPr>
        <w:pStyle w:val="ProductList-Body"/>
        <w:numPr>
          <w:ilvl w:val="0"/>
          <w:numId w:val="14"/>
        </w:numPr>
        <w:spacing w:before="40"/>
        <w:ind w:left="720" w:hanging="274"/>
      </w:pPr>
      <w:r>
        <w:t>Usuários com uma SL para Microsoft Dynamics CRM Online Professional ou Microsoft Dynamics CRM Online Enterprise poderão usar o</w:t>
      </w:r>
      <w:r w:rsidR="00643157">
        <w:t> </w:t>
      </w:r>
      <w:r>
        <w:t>Microsoft Social Listening.</w:t>
      </w:r>
    </w:p>
    <w:p w:rsidR="004E52BA" w:rsidRPr="00B810D0" w:rsidRDefault="00EA64EF" w:rsidP="004E52BA">
      <w:pPr>
        <w:pStyle w:val="ProductList-Body"/>
        <w:shd w:val="clear" w:color="auto" w:fill="A6A6A6" w:themeFill="background1" w:themeFillShade="A6"/>
        <w:spacing w:before="120" w:after="240"/>
        <w:jc w:val="right"/>
      </w:pPr>
      <w:hyperlink w:anchor="TableofContents" w:history="1">
        <w:r w:rsidR="0021539D">
          <w:rPr>
            <w:rStyle w:val="Hyperlink"/>
            <w:sz w:val="16"/>
            <w:szCs w:val="16"/>
          </w:rPr>
          <w:t>Sumário</w:t>
        </w:r>
      </w:hyperlink>
      <w:r w:rsidR="0021539D">
        <w:rPr>
          <w:sz w:val="16"/>
          <w:szCs w:val="16"/>
        </w:rPr>
        <w:t>/</w:t>
      </w:r>
      <w:hyperlink w:anchor="GeneralTerms" w:history="1">
        <w:r w:rsidR="0021539D">
          <w:rPr>
            <w:rStyle w:val="Hyperlink"/>
            <w:sz w:val="16"/>
            <w:szCs w:val="16"/>
          </w:rPr>
          <w:t>Termos Gerais</w:t>
        </w:r>
      </w:hyperlink>
      <w:r w:rsidR="00600D17">
        <w:t xml:space="preserve"> </w:t>
      </w:r>
    </w:p>
    <w:p w:rsidR="003D22CB" w:rsidRPr="00B810D0" w:rsidRDefault="004E52BA" w:rsidP="00D7478E">
      <w:pPr>
        <w:pStyle w:val="ProductList-OfferingGroupHeading"/>
        <w:spacing w:after="80"/>
      </w:pPr>
      <w:bookmarkStart w:id="52" w:name="_Toc391645810"/>
      <w:r>
        <w:t>Serviços do Office 365</w:t>
      </w:r>
      <w:bookmarkEnd w:id="52"/>
    </w:p>
    <w:p w:rsidR="000E3993" w:rsidRPr="00B810D0" w:rsidRDefault="000E3993" w:rsidP="000E3993">
      <w:pPr>
        <w:pStyle w:val="ProductList-Body"/>
        <w:tabs>
          <w:tab w:val="clear" w:pos="158"/>
          <w:tab w:val="left" w:pos="360"/>
        </w:tabs>
      </w:pPr>
      <w:r>
        <w:rPr>
          <w:b/>
          <w:color w:val="00188F"/>
        </w:rPr>
        <w:t>Notificações</w:t>
      </w:r>
    </w:p>
    <w:p w:rsidR="000E3993" w:rsidRPr="00B810D0" w:rsidRDefault="000E3993" w:rsidP="000E3993">
      <w:pPr>
        <w:pStyle w:val="ProductList-Body"/>
      </w:pPr>
      <w:r>
        <w:t xml:space="preserve">As Notificações sobre o Bing Mapas contidas no </w:t>
      </w:r>
      <w:hyperlink w:anchor="Attachment1" w:history="1">
        <w:r>
          <w:rPr>
            <w:rStyle w:val="Hyperlink"/>
          </w:rPr>
          <w:t>Anexo 1</w:t>
        </w:r>
      </w:hyperlink>
      <w:r>
        <w:t xml:space="preserve"> são aplicáveis.</w:t>
      </w:r>
    </w:p>
    <w:p w:rsidR="000E3993" w:rsidRPr="0021539D" w:rsidRDefault="000E3993" w:rsidP="000E3993">
      <w:pPr>
        <w:pStyle w:val="ProductList-Body"/>
        <w:rPr>
          <w:sz w:val="16"/>
          <w:szCs w:val="16"/>
        </w:rPr>
      </w:pPr>
    </w:p>
    <w:p w:rsidR="009427A1" w:rsidRPr="00B810D0" w:rsidRDefault="009427A1" w:rsidP="009427A1">
      <w:pPr>
        <w:pStyle w:val="ProductList-Body"/>
      </w:pPr>
      <w:bookmarkStart w:id="53" w:name="CoreFeaturesforOffice365Services"/>
      <w:r>
        <w:rPr>
          <w:b/>
          <w:color w:val="00188F"/>
        </w:rPr>
        <w:t>Principais Recursos dos Serviços do Office 365</w:t>
      </w:r>
    </w:p>
    <w:bookmarkEnd w:id="53"/>
    <w:p w:rsidR="009427A1" w:rsidRPr="00B810D0"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w:t>
      </w:r>
      <w:r w:rsidR="00643157">
        <w:t> </w:t>
      </w:r>
      <w:r>
        <w:t>capacidade). A Microsoft poderá eliminar permanentemente uma funcionalidade especificada abaixo somente se ela fornecer ao Cliente uma funcionalidade alternativa razoável.</w:t>
      </w:r>
    </w:p>
    <w:p w:rsidR="009427A1" w:rsidRPr="0021539D" w:rsidRDefault="009427A1" w:rsidP="009427A1">
      <w:pPr>
        <w:pStyle w:val="ProductList-Body"/>
        <w:rPr>
          <w:sz w:val="16"/>
          <w:szCs w:val="16"/>
        </w:rPr>
      </w:pPr>
    </w:p>
    <w:p w:rsidR="009427A1" w:rsidRPr="00B810D0" w:rsidRDefault="009427A1" w:rsidP="00DC0A1F">
      <w:pPr>
        <w:pStyle w:val="ProductList-Body"/>
        <w:ind w:left="180"/>
      </w:pPr>
      <w:r>
        <w:rPr>
          <w:b/>
          <w:color w:val="0072C6"/>
        </w:rPr>
        <w:t>Portal de Administração</w:t>
      </w:r>
    </w:p>
    <w:p w:rsidR="009427A1" w:rsidRPr="00B810D0" w:rsidRDefault="009427A1" w:rsidP="00DC0A1F">
      <w:pPr>
        <w:pStyle w:val="ProductList-Body"/>
        <w:ind w:left="180"/>
      </w:pPr>
      <w:r>
        <w:t>O Cliente poderá adicionar ou remover usuários finais e domínios, gerenciar licencias e criar grupos por meio do Portal do Microsoft Online Services ou seu site sucessor.</w:t>
      </w:r>
    </w:p>
    <w:p w:rsidR="009427A1" w:rsidRPr="0021539D" w:rsidRDefault="009427A1" w:rsidP="009427A1">
      <w:pPr>
        <w:pStyle w:val="ProductList-Body"/>
        <w:rPr>
          <w:sz w:val="16"/>
          <w:szCs w:val="16"/>
        </w:rPr>
      </w:pPr>
    </w:p>
    <w:p w:rsidR="004A2A95" w:rsidRPr="00B810D0" w:rsidRDefault="004A2A95" w:rsidP="004A2A95">
      <w:pPr>
        <w:pStyle w:val="ProductList-Body"/>
        <w:tabs>
          <w:tab w:val="clear" w:pos="158"/>
          <w:tab w:val="left" w:pos="180"/>
        </w:tabs>
      </w:pPr>
      <w:r>
        <w:rPr>
          <w:b/>
          <w:color w:val="00188F"/>
        </w:rPr>
        <w:t>Pacotes de Licenças de Assinatura.</w:t>
      </w:r>
    </w:p>
    <w:p w:rsidR="004A2A95" w:rsidRPr="00B810D0" w:rsidRDefault="004A2A95" w:rsidP="004A2A95">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cumprem os requisitos do Exchange Online Planos 1 e 2, do Lync Online Planos 1 e</w:t>
      </w:r>
      <w:r w:rsidR="00643157">
        <w:t> </w:t>
      </w:r>
      <w:r>
        <w:t>2 e do SharePoint Online Planos 1 e 2.</w:t>
      </w:r>
    </w:p>
    <w:p w:rsidR="009427A1" w:rsidRPr="0021539D" w:rsidRDefault="009427A1" w:rsidP="004A2A95">
      <w:pPr>
        <w:pStyle w:val="ProductList-Body"/>
        <w:rPr>
          <w:sz w:val="16"/>
          <w:szCs w:val="16"/>
        </w:rPr>
      </w:pPr>
    </w:p>
    <w:p w:rsidR="00E93FD0" w:rsidRPr="00B810D0" w:rsidRDefault="00E93FD0" w:rsidP="00E93FD0">
      <w:pPr>
        <w:pStyle w:val="ProductList-Offering2Heading"/>
      </w:pPr>
      <w:r>
        <w:tab/>
      </w:r>
      <w:bookmarkStart w:id="54" w:name="_Toc391645811"/>
      <w:r>
        <w:t>Exchange Online</w:t>
      </w:r>
      <w:bookmarkEnd w:id="5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B810D0" w:rsidRDefault="00E275D6" w:rsidP="00EF1E73">
      <w:pPr>
        <w:pStyle w:val="ProductList-Body"/>
      </w:pPr>
      <w:r>
        <w:rPr>
          <w:rFonts w:asciiTheme="majorHAnsi" w:hAnsiTheme="majorHAnsi"/>
          <w:sz w:val="16"/>
          <w:szCs w:val="16"/>
        </w:rPr>
        <w:t>Prevenção de Perda de Dados</w:t>
      </w:r>
    </w:p>
    <w:p w:rsidR="004E52BA" w:rsidRPr="00B810D0" w:rsidRDefault="004E52BA" w:rsidP="00EF1E73">
      <w:pPr>
        <w:pStyle w:val="ProductList-Body"/>
      </w:pPr>
      <w:r>
        <w:rPr>
          <w:rFonts w:asciiTheme="majorHAnsi" w:hAnsiTheme="majorHAnsi"/>
          <w:sz w:val="16"/>
          <w:szCs w:val="16"/>
        </w:rPr>
        <w:t>Exchange Online Archiving para Exchange Online</w:t>
      </w:r>
    </w:p>
    <w:p w:rsidR="004E52BA" w:rsidRPr="00B810D0" w:rsidRDefault="004E52BA" w:rsidP="00EF1E73">
      <w:pPr>
        <w:pStyle w:val="ProductList-Body"/>
      </w:pPr>
      <w:r>
        <w:rPr>
          <w:rFonts w:asciiTheme="majorHAnsi" w:hAnsiTheme="majorHAnsi"/>
          <w:sz w:val="16"/>
          <w:szCs w:val="16"/>
        </w:rPr>
        <w:t>Exchange Online Archiving para Exchange Server</w:t>
      </w:r>
    </w:p>
    <w:p w:rsidR="004E52BA" w:rsidRPr="00B810D0" w:rsidRDefault="004E52BA" w:rsidP="00EF1E73">
      <w:pPr>
        <w:pStyle w:val="ProductList-Body"/>
      </w:pPr>
      <w:r>
        <w:rPr>
          <w:rFonts w:asciiTheme="majorHAnsi" w:hAnsiTheme="majorHAnsi"/>
          <w:sz w:val="16"/>
          <w:szCs w:val="16"/>
        </w:rPr>
        <w:t>Quiosque do Exchange Online</w:t>
      </w:r>
    </w:p>
    <w:p w:rsidR="004E52BA" w:rsidRPr="00B810D0" w:rsidRDefault="004E52BA" w:rsidP="00EF1E73">
      <w:pPr>
        <w:pStyle w:val="ProductList-Body"/>
      </w:pPr>
      <w:r>
        <w:rPr>
          <w:rFonts w:asciiTheme="majorHAnsi" w:hAnsiTheme="majorHAnsi"/>
          <w:sz w:val="16"/>
          <w:szCs w:val="16"/>
        </w:rPr>
        <w:t>Exchange Online Plano 1</w:t>
      </w:r>
    </w:p>
    <w:p w:rsidR="004E52BA" w:rsidRPr="00B810D0" w:rsidRDefault="004E52BA" w:rsidP="00EF1E73">
      <w:pPr>
        <w:pStyle w:val="ProductList-Body"/>
      </w:pPr>
      <w:r>
        <w:rPr>
          <w:rFonts w:asciiTheme="majorHAnsi" w:hAnsiTheme="majorHAnsi"/>
          <w:sz w:val="16"/>
          <w:szCs w:val="16"/>
        </w:rPr>
        <w:t>Exchange Online Plano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861BA1" w:rsidRDefault="00123E7D" w:rsidP="00123E7D">
      <w:pPr>
        <w:pStyle w:val="ProductList-Body"/>
        <w:pBdr>
          <w:top w:val="single" w:sz="4" w:space="1" w:color="BFBFBF" w:themeColor="background1" w:themeShade="BF"/>
        </w:pBdr>
        <w:rPr>
          <w:b/>
          <w:color w:val="000000" w:themeColor="text1"/>
          <w:sz w:val="8"/>
          <w:szCs w:val="8"/>
        </w:rPr>
      </w:pPr>
    </w:p>
    <w:p w:rsidR="001A19E0" w:rsidRPr="00B810D0" w:rsidRDefault="00DC0A1F" w:rsidP="001A19E0">
      <w:pPr>
        <w:pStyle w:val="ProductList-Body"/>
      </w:pPr>
      <w:r>
        <w:rPr>
          <w:b/>
          <w:color w:val="00188F"/>
        </w:rPr>
        <w:t>Principais Recursos para os Serviços do Office 365 – Exchange Online</w:t>
      </w:r>
    </w:p>
    <w:p w:rsidR="001A19E0" w:rsidRPr="00B810D0"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rsidR="00017A5A" w:rsidRPr="0021539D" w:rsidRDefault="00017A5A" w:rsidP="001A19E0">
      <w:pPr>
        <w:pStyle w:val="ProductList-Body"/>
        <w:rPr>
          <w:sz w:val="16"/>
          <w:szCs w:val="16"/>
        </w:rPr>
      </w:pPr>
    </w:p>
    <w:p w:rsidR="001A19E0" w:rsidRPr="00B810D0" w:rsidRDefault="001A19E0" w:rsidP="001A19E0">
      <w:pPr>
        <w:pStyle w:val="ProductList-Body"/>
        <w:ind w:left="180"/>
      </w:pPr>
      <w:r>
        <w:rPr>
          <w:b/>
          <w:color w:val="0072C6"/>
        </w:rPr>
        <w:t>Emails</w:t>
      </w:r>
    </w:p>
    <w:p w:rsidR="001A19E0" w:rsidRPr="00B810D0"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rsidR="001A19E0" w:rsidRPr="0021539D" w:rsidRDefault="001A19E0" w:rsidP="001A19E0">
      <w:pPr>
        <w:pStyle w:val="ProductList-Body"/>
        <w:ind w:left="180"/>
        <w:rPr>
          <w:sz w:val="16"/>
          <w:szCs w:val="16"/>
        </w:rPr>
      </w:pPr>
    </w:p>
    <w:p w:rsidR="001A19E0" w:rsidRPr="00B810D0" w:rsidRDefault="001A19E0" w:rsidP="001A19E0">
      <w:pPr>
        <w:pStyle w:val="ProductList-Body"/>
        <w:ind w:left="180"/>
      </w:pPr>
      <w:r>
        <w:rPr>
          <w:b/>
          <w:color w:val="0072C6"/>
        </w:rPr>
        <w:t>Acesso por um Navegador Web e Dispositivos Móveis</w:t>
      </w:r>
    </w:p>
    <w:p w:rsidR="001A19E0" w:rsidRPr="00B810D0"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rsidR="001A19E0" w:rsidRPr="0021539D" w:rsidRDefault="001A19E0" w:rsidP="001A19E0">
      <w:pPr>
        <w:pStyle w:val="ProductList-Body"/>
        <w:ind w:left="180"/>
        <w:rPr>
          <w:sz w:val="16"/>
          <w:szCs w:val="16"/>
        </w:rPr>
      </w:pPr>
    </w:p>
    <w:p w:rsidR="001A19E0" w:rsidRPr="00B810D0" w:rsidRDefault="001A19E0" w:rsidP="001A19E0">
      <w:pPr>
        <w:pStyle w:val="ProductList-Body"/>
        <w:ind w:left="180"/>
      </w:pPr>
      <w:r>
        <w:rPr>
          <w:b/>
          <w:color w:val="0072C6"/>
        </w:rPr>
        <w:t>Políticas de Retenção</w:t>
      </w:r>
    </w:p>
    <w:p w:rsidR="001A19E0" w:rsidRPr="00B810D0" w:rsidRDefault="001A19E0" w:rsidP="001A19E0">
      <w:pPr>
        <w:pStyle w:val="ProductList-Body"/>
        <w:ind w:left="180"/>
      </w:pPr>
      <w:r>
        <w:t>O Cliente será capaz de estabelecer políticas de exclusão e arquivamento para mensagens de email.</w:t>
      </w:r>
    </w:p>
    <w:p w:rsidR="001A19E0" w:rsidRPr="0021539D" w:rsidRDefault="001A19E0" w:rsidP="001A19E0">
      <w:pPr>
        <w:pStyle w:val="ProductList-Body"/>
        <w:ind w:left="180"/>
        <w:rPr>
          <w:sz w:val="16"/>
          <w:szCs w:val="16"/>
        </w:rPr>
      </w:pPr>
    </w:p>
    <w:p w:rsidR="001A19E0" w:rsidRPr="00B810D0" w:rsidRDefault="001A19E0" w:rsidP="001A19E0">
      <w:pPr>
        <w:pStyle w:val="ProductList-Body"/>
        <w:ind w:left="180"/>
      </w:pPr>
      <w:r>
        <w:rPr>
          <w:b/>
          <w:color w:val="0072C6"/>
        </w:rPr>
        <w:t>Recuperação da Caixa de Correio e de Itens Excluídos</w:t>
      </w:r>
    </w:p>
    <w:p w:rsidR="001A19E0" w:rsidRPr="00B810D0"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rsidR="001A19E0" w:rsidRPr="0021539D" w:rsidRDefault="001A19E0" w:rsidP="001A19E0">
      <w:pPr>
        <w:pStyle w:val="ProductList-Body"/>
        <w:ind w:left="180"/>
        <w:rPr>
          <w:sz w:val="16"/>
          <w:szCs w:val="16"/>
        </w:rPr>
      </w:pPr>
    </w:p>
    <w:p w:rsidR="001A19E0" w:rsidRPr="00B810D0" w:rsidRDefault="001A19E0" w:rsidP="001A19E0">
      <w:pPr>
        <w:pStyle w:val="ProductList-Body"/>
        <w:ind w:left="180"/>
      </w:pPr>
      <w:r>
        <w:rPr>
          <w:b/>
          <w:color w:val="0072C6"/>
        </w:rPr>
        <w:t>Pesquisa em Várias Caixas de Correio</w:t>
      </w:r>
    </w:p>
    <w:p w:rsidR="001A19E0" w:rsidRPr="00B810D0" w:rsidRDefault="001A19E0" w:rsidP="001A19E0">
      <w:pPr>
        <w:pStyle w:val="ProductList-Body"/>
        <w:ind w:left="180"/>
      </w:pPr>
      <w:r>
        <w:t>O Cliente será capaz de pesquisar conteúdo pelas várias caixas de correio em sua organização.</w:t>
      </w:r>
    </w:p>
    <w:p w:rsidR="001A19E0" w:rsidRPr="0021539D" w:rsidRDefault="001A19E0" w:rsidP="001A19E0">
      <w:pPr>
        <w:pStyle w:val="ProductList-Body"/>
        <w:ind w:left="180"/>
        <w:rPr>
          <w:sz w:val="8"/>
          <w:szCs w:val="8"/>
        </w:rPr>
      </w:pPr>
    </w:p>
    <w:p w:rsidR="001A19E0" w:rsidRPr="00B810D0" w:rsidRDefault="001A19E0" w:rsidP="001A19E0">
      <w:pPr>
        <w:pStyle w:val="ProductList-Body"/>
        <w:ind w:left="180"/>
      </w:pPr>
      <w:r>
        <w:rPr>
          <w:b/>
          <w:color w:val="0072C6"/>
        </w:rPr>
        <w:t>Calendário</w:t>
      </w:r>
    </w:p>
    <w:p w:rsidR="001A19E0" w:rsidRPr="00B810D0" w:rsidRDefault="001A19E0" w:rsidP="001A19E0">
      <w:pPr>
        <w:pStyle w:val="ProductList-Body"/>
        <w:ind w:left="180"/>
      </w:pPr>
      <w:r>
        <w:t>Um usuário final poderá visualizar um calendário e agendar compromissos, reuniões e respostas automáticas a mensagens de email recebidas.</w:t>
      </w:r>
    </w:p>
    <w:p w:rsidR="001A19E0" w:rsidRPr="00DC65FA" w:rsidRDefault="001A19E0" w:rsidP="001A19E0">
      <w:pPr>
        <w:pStyle w:val="ProductList-Body"/>
        <w:ind w:left="180"/>
        <w:rPr>
          <w:sz w:val="16"/>
          <w:szCs w:val="16"/>
        </w:rPr>
      </w:pPr>
    </w:p>
    <w:p w:rsidR="001A19E0" w:rsidRPr="00B810D0" w:rsidRDefault="001A19E0" w:rsidP="001A19E0">
      <w:pPr>
        <w:pStyle w:val="ProductList-Body"/>
        <w:ind w:left="180"/>
      </w:pPr>
      <w:r>
        <w:rPr>
          <w:b/>
          <w:color w:val="0072C6"/>
        </w:rPr>
        <w:t>Contatos</w:t>
      </w:r>
    </w:p>
    <w:p w:rsidR="001A19E0" w:rsidRPr="00B810D0"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rsidR="001A19E0" w:rsidRPr="00DC65FA" w:rsidRDefault="001A19E0" w:rsidP="001A19E0">
      <w:pPr>
        <w:pStyle w:val="ProductList-Body"/>
        <w:rPr>
          <w:sz w:val="16"/>
          <w:szCs w:val="16"/>
        </w:rPr>
      </w:pPr>
    </w:p>
    <w:p w:rsidR="00DC0A1F" w:rsidRPr="00B810D0" w:rsidRDefault="00DC0A1F" w:rsidP="00DC0A1F">
      <w:pPr>
        <w:pStyle w:val="ProductList-Body"/>
      </w:pPr>
      <w:r>
        <w:rPr>
          <w:b/>
          <w:color w:val="00188F"/>
        </w:rPr>
        <w:t>Principais Recursos dos Serviços do Office 365 – Exchange Online Archiving</w:t>
      </w:r>
    </w:p>
    <w:p w:rsidR="00DC0A1F" w:rsidRPr="00B810D0"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rsidR="000B0627" w:rsidRPr="00DC65FA" w:rsidRDefault="000B0627" w:rsidP="00DC0A1F">
      <w:pPr>
        <w:pStyle w:val="ProductList-Body"/>
        <w:rPr>
          <w:sz w:val="16"/>
          <w:szCs w:val="16"/>
        </w:rPr>
      </w:pPr>
    </w:p>
    <w:p w:rsidR="00ED50E6" w:rsidRPr="00B810D0" w:rsidRDefault="001A19E0" w:rsidP="00ED50E6">
      <w:pPr>
        <w:pStyle w:val="ProductList-Body"/>
        <w:ind w:left="180"/>
      </w:pPr>
      <w:r>
        <w:rPr>
          <w:b/>
          <w:color w:val="0072C6"/>
        </w:rPr>
        <w:t>Armazenamento</w:t>
      </w:r>
    </w:p>
    <w:p w:rsidR="001A19E0" w:rsidRPr="00B810D0" w:rsidRDefault="001A19E0" w:rsidP="00ED50E6">
      <w:pPr>
        <w:pStyle w:val="ProductList-Body"/>
        <w:ind w:left="180"/>
      </w:pPr>
      <w:r>
        <w:t>O Cliente poderá permitir que um usuário final armazene mensagens de email.</w:t>
      </w:r>
    </w:p>
    <w:p w:rsidR="00ED50E6" w:rsidRPr="00DC65FA" w:rsidRDefault="00ED50E6" w:rsidP="00ED50E6">
      <w:pPr>
        <w:pStyle w:val="ProductList-Body"/>
        <w:ind w:left="180"/>
        <w:rPr>
          <w:sz w:val="16"/>
          <w:szCs w:val="16"/>
        </w:rPr>
      </w:pPr>
    </w:p>
    <w:p w:rsidR="00ED50E6" w:rsidRPr="00B810D0" w:rsidRDefault="001A19E0" w:rsidP="00ED50E6">
      <w:pPr>
        <w:pStyle w:val="ProductList-Body"/>
        <w:ind w:left="180"/>
      </w:pPr>
      <w:r>
        <w:rPr>
          <w:b/>
          <w:color w:val="0072C6"/>
        </w:rPr>
        <w:t>Políticas de Retenção</w:t>
      </w:r>
    </w:p>
    <w:p w:rsidR="001A19E0" w:rsidRPr="00B810D0"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rsidR="00ED50E6" w:rsidRPr="00DC65FA" w:rsidRDefault="00ED50E6" w:rsidP="00ED50E6">
      <w:pPr>
        <w:pStyle w:val="ProductList-Body"/>
        <w:ind w:left="180"/>
        <w:rPr>
          <w:sz w:val="16"/>
          <w:szCs w:val="16"/>
        </w:rPr>
      </w:pPr>
    </w:p>
    <w:p w:rsidR="00ED50E6" w:rsidRPr="00B810D0" w:rsidRDefault="001A19E0" w:rsidP="00ED50E6">
      <w:pPr>
        <w:pStyle w:val="ProductList-Body"/>
        <w:ind w:left="180"/>
      </w:pPr>
      <w:r>
        <w:rPr>
          <w:b/>
          <w:color w:val="0072C6"/>
        </w:rPr>
        <w:t>Recuperação da Caixa de Correio e de Itens Excluídos</w:t>
      </w:r>
    </w:p>
    <w:p w:rsidR="001A19E0" w:rsidRPr="00B810D0"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rsidR="00ED50E6" w:rsidRPr="00DC65FA" w:rsidRDefault="00ED50E6" w:rsidP="00ED50E6">
      <w:pPr>
        <w:pStyle w:val="ProductList-Body"/>
        <w:ind w:left="180"/>
        <w:rPr>
          <w:sz w:val="16"/>
          <w:szCs w:val="16"/>
        </w:rPr>
      </w:pPr>
    </w:p>
    <w:p w:rsidR="00ED50E6" w:rsidRPr="00B810D0" w:rsidRDefault="001A19E0" w:rsidP="00ED50E6">
      <w:pPr>
        <w:pStyle w:val="ProductList-Body"/>
        <w:ind w:left="180"/>
      </w:pPr>
      <w:r>
        <w:rPr>
          <w:b/>
          <w:color w:val="0072C6"/>
        </w:rPr>
        <w:t>Pesquisa em Várias Caixas de Correio</w:t>
      </w:r>
    </w:p>
    <w:p w:rsidR="001A19E0" w:rsidRPr="00B810D0" w:rsidRDefault="001A19E0" w:rsidP="00ED50E6">
      <w:pPr>
        <w:pStyle w:val="ProductList-Body"/>
        <w:ind w:left="180"/>
      </w:pPr>
      <w:r>
        <w:t>O Cliente será capaz de pesquisar conteúdo pelas várias caixas de correio em sua organização.</w:t>
      </w:r>
    </w:p>
    <w:p w:rsidR="00ED50E6" w:rsidRPr="00DC65FA" w:rsidRDefault="00ED50E6" w:rsidP="00ED50E6">
      <w:pPr>
        <w:pStyle w:val="ProductList-Body"/>
        <w:ind w:left="180"/>
        <w:rPr>
          <w:sz w:val="16"/>
          <w:szCs w:val="16"/>
        </w:rPr>
      </w:pPr>
    </w:p>
    <w:p w:rsidR="00ED50E6" w:rsidRPr="00B810D0" w:rsidRDefault="001A19E0" w:rsidP="00ED50E6">
      <w:pPr>
        <w:pStyle w:val="ProductList-Body"/>
        <w:ind w:left="180"/>
      </w:pPr>
      <w:r>
        <w:rPr>
          <w:b/>
          <w:color w:val="0072C6"/>
        </w:rPr>
        <w:t>Retenção Jurídica</w:t>
      </w:r>
    </w:p>
    <w:p w:rsidR="001A19E0" w:rsidRPr="00B810D0" w:rsidRDefault="001A19E0" w:rsidP="00ED50E6">
      <w:pPr>
        <w:pStyle w:val="ProductList-Body"/>
        <w:ind w:left="180"/>
      </w:pPr>
      <w:r>
        <w:t>O Cliente poderá aplicar uma “retenção legal” às caixas de correio principal e de arquivamento de um usuário final a fim de preservar o conteúdo delas.</w:t>
      </w:r>
    </w:p>
    <w:p w:rsidR="006523C8" w:rsidRPr="00DC65FA" w:rsidRDefault="006523C8" w:rsidP="006523C8">
      <w:pPr>
        <w:pStyle w:val="ProductList-Body"/>
        <w:rPr>
          <w:sz w:val="16"/>
          <w:szCs w:val="16"/>
        </w:rPr>
      </w:pPr>
    </w:p>
    <w:p w:rsidR="006523C8" w:rsidRPr="00B810D0" w:rsidRDefault="006523C8" w:rsidP="006523C8">
      <w:pPr>
        <w:pStyle w:val="ProductList-Body"/>
        <w:ind w:left="180"/>
      </w:pPr>
      <w:r>
        <w:rPr>
          <w:b/>
          <w:color w:val="0072C6"/>
        </w:rPr>
        <w:t>Arquivamento</w:t>
      </w:r>
    </w:p>
    <w:p w:rsidR="006523C8" w:rsidRPr="00B810D0" w:rsidRDefault="006523C8" w:rsidP="006523C8">
      <w:pPr>
        <w:pStyle w:val="ProductList-Body"/>
        <w:ind w:left="180"/>
      </w:pPr>
      <w:r>
        <w:t>O arquivamento pode ser usado somente para armazenamento de mensagens com Exchange Online Planos 1 e 2.</w:t>
      </w:r>
    </w:p>
    <w:p w:rsidR="006523C8" w:rsidRPr="00DC65FA" w:rsidRDefault="006523C8" w:rsidP="006523C8">
      <w:pPr>
        <w:pStyle w:val="ProductList-Body"/>
        <w:ind w:left="180"/>
        <w:rPr>
          <w:sz w:val="16"/>
          <w:szCs w:val="16"/>
        </w:rPr>
      </w:pPr>
    </w:p>
    <w:p w:rsidR="006523C8" w:rsidRPr="00B810D0" w:rsidRDefault="006523C8" w:rsidP="006523C8">
      <w:pPr>
        <w:pStyle w:val="ProductList-Body"/>
        <w:ind w:left="180"/>
      </w:pPr>
      <w:r>
        <w:rPr>
          <w:b/>
          <w:color w:val="0072C6"/>
        </w:rPr>
        <w:t>Arquivamento para Exchange Server</w:t>
      </w:r>
    </w:p>
    <w:p w:rsidR="006523C8" w:rsidRPr="00B810D0"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rsidR="006523C8" w:rsidRPr="00DC65FA" w:rsidRDefault="006523C8" w:rsidP="006523C8">
      <w:pPr>
        <w:pStyle w:val="ProductList-Body"/>
        <w:ind w:left="180"/>
        <w:rPr>
          <w:sz w:val="16"/>
          <w:szCs w:val="16"/>
        </w:rPr>
      </w:pPr>
    </w:p>
    <w:p w:rsidR="006523C8" w:rsidRPr="00B810D0" w:rsidRDefault="006523C8" w:rsidP="006523C8">
      <w:pPr>
        <w:pStyle w:val="ProductList-Body"/>
        <w:tabs>
          <w:tab w:val="clear" w:pos="158"/>
          <w:tab w:val="left" w:pos="270"/>
        </w:tabs>
      </w:pPr>
      <w:r>
        <w:rPr>
          <w:b/>
          <w:color w:val="00188F"/>
        </w:rPr>
        <w:t>Exchange Online Plano 2 da Migração do Exchange Hosted Archive</w:t>
      </w:r>
    </w:p>
    <w:p w:rsidR="006523C8" w:rsidRPr="00B810D0"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34" w:history="1">
        <w:r>
          <w:rPr>
            <w:rStyle w:val="Hyperlink"/>
          </w:rPr>
          <w:t>http://go.microsoft.com/?linkid=9839206</w:t>
        </w:r>
      </w:hyperlink>
      <w:r w:rsidRPr="00ED7512">
        <w:rPr>
          <w:rStyle w:val="Hyperlink"/>
          <w:u w:val="none"/>
        </w:rPr>
        <w:t>.</w:t>
      </w:r>
    </w:p>
    <w:p w:rsidR="006523C8" w:rsidRPr="00DC65FA" w:rsidRDefault="006523C8" w:rsidP="006523C8">
      <w:pPr>
        <w:pStyle w:val="ProductList-Body"/>
        <w:rPr>
          <w:sz w:val="16"/>
          <w:szCs w:val="16"/>
        </w:rPr>
      </w:pPr>
    </w:p>
    <w:p w:rsidR="009427A1" w:rsidRPr="00B810D0" w:rsidRDefault="009427A1" w:rsidP="009427A1">
      <w:pPr>
        <w:pStyle w:val="ProductList-Body"/>
        <w:tabs>
          <w:tab w:val="clear" w:pos="158"/>
          <w:tab w:val="left" w:pos="180"/>
        </w:tabs>
      </w:pPr>
      <w:r>
        <w:rPr>
          <w:b/>
          <w:color w:val="00188F"/>
        </w:rPr>
        <w:t>Licença de Dispositivo de Prevenção contra Perda de Dados</w:t>
      </w:r>
    </w:p>
    <w:p w:rsidR="009427A1" w:rsidRPr="00B810D0"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rsidR="00E93FD0" w:rsidRPr="00B810D0" w:rsidRDefault="00EA64EF" w:rsidP="00E93FD0">
      <w:pPr>
        <w:pStyle w:val="ProductList-Body"/>
        <w:shd w:val="clear" w:color="auto" w:fill="A6A6A6" w:themeFill="background1" w:themeFillShade="A6"/>
        <w:spacing w:before="120" w:after="240"/>
        <w:jc w:val="right"/>
      </w:pPr>
      <w:hyperlink w:anchor="TableofContents" w:history="1">
        <w:r w:rsidR="00DC65FA">
          <w:rPr>
            <w:rStyle w:val="Hyperlink"/>
            <w:sz w:val="16"/>
            <w:szCs w:val="16"/>
          </w:rPr>
          <w:t>Sumário</w:t>
        </w:r>
      </w:hyperlink>
      <w:r w:rsidR="00DC65FA">
        <w:rPr>
          <w:sz w:val="16"/>
          <w:szCs w:val="16"/>
        </w:rPr>
        <w:t>/</w:t>
      </w:r>
      <w:hyperlink w:anchor="GeneralTerms" w:history="1">
        <w:r w:rsidR="00DC65FA">
          <w:rPr>
            <w:rStyle w:val="Hyperlink"/>
            <w:sz w:val="16"/>
            <w:szCs w:val="16"/>
          </w:rPr>
          <w:t>Termos Gerais</w:t>
        </w:r>
      </w:hyperlink>
      <w:r w:rsidR="00600D17">
        <w:t xml:space="preserve"> </w:t>
      </w:r>
    </w:p>
    <w:p w:rsidR="00ED50E6" w:rsidRPr="00B810D0" w:rsidRDefault="00E93FD0" w:rsidP="00E93FD0">
      <w:pPr>
        <w:pStyle w:val="ProductList-Offering2Heading"/>
      </w:pPr>
      <w:r>
        <w:tab/>
      </w:r>
      <w:bookmarkStart w:id="55" w:name="_Toc391645812"/>
      <w:r>
        <w:t>Lync Online</w:t>
      </w:r>
      <w:bookmarkEnd w:id="55"/>
    </w:p>
    <w:p w:rsidR="00E93FD0" w:rsidRPr="00B810D0" w:rsidRDefault="00E93FD0" w:rsidP="00EF1E73">
      <w:pPr>
        <w:pStyle w:val="ProductList-Body"/>
      </w:pPr>
      <w:r>
        <w:rPr>
          <w:rFonts w:asciiTheme="majorHAnsi" w:hAnsiTheme="majorHAnsi"/>
          <w:sz w:val="16"/>
          <w:szCs w:val="16"/>
        </w:rPr>
        <w:t>Lync Online Plano 1</w:t>
      </w:r>
    </w:p>
    <w:p w:rsidR="00E93FD0" w:rsidRPr="00B810D0" w:rsidRDefault="00E93FD0" w:rsidP="00EF1E73">
      <w:pPr>
        <w:pStyle w:val="ProductList-Body"/>
      </w:pPr>
      <w:r>
        <w:rPr>
          <w:rFonts w:asciiTheme="majorHAnsi" w:hAnsiTheme="majorHAnsi"/>
          <w:sz w:val="16"/>
          <w:szCs w:val="16"/>
        </w:rPr>
        <w:t>Lync Online Plano 2</w:t>
      </w:r>
    </w:p>
    <w:p w:rsidR="00123E7D" w:rsidRPr="004F57D5" w:rsidRDefault="00123E7D" w:rsidP="00123E7D">
      <w:pPr>
        <w:pStyle w:val="ProductList-Body"/>
        <w:pBdr>
          <w:top w:val="single" w:sz="4" w:space="1" w:color="BFBFBF" w:themeColor="background1" w:themeShade="BF"/>
        </w:pBdr>
        <w:rPr>
          <w:b/>
          <w:color w:val="000000" w:themeColor="text1"/>
          <w:sz w:val="8"/>
          <w:szCs w:val="8"/>
        </w:rPr>
      </w:pPr>
    </w:p>
    <w:p w:rsidR="00123E7D" w:rsidRPr="00B810D0" w:rsidRDefault="00123E7D" w:rsidP="00123E7D">
      <w:pPr>
        <w:pStyle w:val="ProductList-Body"/>
        <w:tabs>
          <w:tab w:val="clear" w:pos="158"/>
          <w:tab w:val="left" w:pos="360"/>
        </w:tabs>
      </w:pPr>
      <w:r>
        <w:rPr>
          <w:b/>
          <w:color w:val="00188F"/>
        </w:rPr>
        <w:t>Notificações</w:t>
      </w:r>
    </w:p>
    <w:p w:rsidR="00123E7D" w:rsidRPr="00B810D0" w:rsidRDefault="00123E7D" w:rsidP="00123E7D">
      <w:pPr>
        <w:pStyle w:val="ProductList-Body"/>
      </w:pPr>
      <w:r>
        <w:t xml:space="preserve">As Notificações sobre Registro e H.264/MPEG-4 AVC e/ou VC-1 contidas no </w:t>
      </w:r>
      <w:hyperlink w:anchor="Attachment1" w:history="1">
        <w:r>
          <w:rPr>
            <w:rStyle w:val="Hyperlink"/>
          </w:rPr>
          <w:t>Anexo 1</w:t>
        </w:r>
      </w:hyperlink>
      <w:r>
        <w:t xml:space="preserve"> são aplicáveis.</w:t>
      </w:r>
    </w:p>
    <w:p w:rsidR="00123E7D" w:rsidRPr="00DC65FA" w:rsidRDefault="00123E7D" w:rsidP="00123E7D">
      <w:pPr>
        <w:pStyle w:val="ProductList-Body"/>
        <w:rPr>
          <w:sz w:val="16"/>
          <w:szCs w:val="16"/>
        </w:rPr>
      </w:pPr>
    </w:p>
    <w:p w:rsidR="00D7478E" w:rsidRPr="00B810D0" w:rsidRDefault="00D7478E" w:rsidP="00D7478E">
      <w:pPr>
        <w:pStyle w:val="ProductList-Body"/>
      </w:pPr>
      <w:r>
        <w:rPr>
          <w:b/>
          <w:color w:val="00188F"/>
        </w:rPr>
        <w:t>Principais Recursos dos Serviços do Office 365</w:t>
      </w:r>
    </w:p>
    <w:p w:rsidR="00D7478E" w:rsidRPr="00B810D0" w:rsidRDefault="00D7478E" w:rsidP="00D7478E">
      <w:pPr>
        <w:pStyle w:val="ProductList-Body"/>
      </w:pPr>
      <w:r>
        <w:t xml:space="preserve">O Lync Online ou seu serviço sucessor terá as seguintes funções de </w:t>
      </w:r>
      <w:hyperlink w:anchor="CoreFeaturesforOffice365Services" w:history="1">
        <w:r>
          <w:rPr>
            <w:rStyle w:val="Hyperlink"/>
          </w:rPr>
          <w:t>Principais Recursos</w:t>
        </w:r>
      </w:hyperlink>
      <w:r>
        <w:t>:</w:t>
      </w:r>
    </w:p>
    <w:p w:rsidR="00D7478E" w:rsidRPr="00DC65FA" w:rsidRDefault="00D7478E" w:rsidP="00D7478E">
      <w:pPr>
        <w:pStyle w:val="ProductList-Body"/>
        <w:rPr>
          <w:sz w:val="16"/>
          <w:szCs w:val="16"/>
        </w:rPr>
      </w:pPr>
    </w:p>
    <w:p w:rsidR="00ED50E6" w:rsidRPr="00B810D0" w:rsidRDefault="001A19E0" w:rsidP="00D7478E">
      <w:pPr>
        <w:pStyle w:val="ProductList-Body"/>
        <w:tabs>
          <w:tab w:val="clear" w:pos="158"/>
          <w:tab w:val="left" w:pos="360"/>
        </w:tabs>
        <w:ind w:left="180"/>
      </w:pPr>
      <w:r>
        <w:rPr>
          <w:b/>
          <w:color w:val="0072C6"/>
        </w:rPr>
        <w:t>Mensagens Instantâneas</w:t>
      </w:r>
    </w:p>
    <w:p w:rsidR="001A19E0" w:rsidRPr="00B810D0" w:rsidRDefault="001A19E0" w:rsidP="00D7478E">
      <w:pPr>
        <w:pStyle w:val="ProductList-Body"/>
        <w:tabs>
          <w:tab w:val="clear" w:pos="158"/>
          <w:tab w:val="left" w:pos="360"/>
        </w:tabs>
        <w:ind w:left="180"/>
      </w:pPr>
      <w:r>
        <w:t>Um usuário final poderá transferir uma mensagem de texto a outro usuário final em tempo real por uma rede IP.</w:t>
      </w:r>
    </w:p>
    <w:p w:rsidR="00ED50E6" w:rsidRPr="00DC65FA" w:rsidRDefault="00ED50E6" w:rsidP="00D7478E">
      <w:pPr>
        <w:pStyle w:val="ProductList-Body"/>
        <w:tabs>
          <w:tab w:val="clear" w:pos="158"/>
          <w:tab w:val="left" w:pos="360"/>
        </w:tabs>
        <w:ind w:left="180"/>
        <w:rPr>
          <w:sz w:val="10"/>
          <w:szCs w:val="10"/>
        </w:rPr>
      </w:pPr>
    </w:p>
    <w:p w:rsidR="00ED50E6" w:rsidRPr="00B810D0" w:rsidRDefault="001A19E0" w:rsidP="00D7478E">
      <w:pPr>
        <w:pStyle w:val="ProductList-Body"/>
        <w:tabs>
          <w:tab w:val="clear" w:pos="158"/>
          <w:tab w:val="left" w:pos="360"/>
        </w:tabs>
        <w:ind w:left="180"/>
      </w:pPr>
      <w:r>
        <w:rPr>
          <w:b/>
          <w:color w:val="0072C6"/>
        </w:rPr>
        <w:t>Presença</w:t>
      </w:r>
    </w:p>
    <w:p w:rsidR="001A19E0" w:rsidRPr="00B810D0" w:rsidRDefault="001A19E0" w:rsidP="00D7478E">
      <w:pPr>
        <w:pStyle w:val="ProductList-Body"/>
        <w:tabs>
          <w:tab w:val="clear" w:pos="158"/>
          <w:tab w:val="left" w:pos="360"/>
        </w:tabs>
        <w:ind w:left="180"/>
      </w:pPr>
      <w:r>
        <w:t>Um usuário final poderá definir e exibir sua disponibilidade e visualizar a disponibilidade de outro usuário final.</w:t>
      </w:r>
    </w:p>
    <w:p w:rsidR="00ED50E6" w:rsidRPr="00AA6E26" w:rsidRDefault="00ED50E6" w:rsidP="00D7478E">
      <w:pPr>
        <w:pStyle w:val="ProductList-Body"/>
        <w:tabs>
          <w:tab w:val="clear" w:pos="158"/>
          <w:tab w:val="left" w:pos="360"/>
        </w:tabs>
        <w:ind w:left="180"/>
        <w:rPr>
          <w:sz w:val="15"/>
          <w:szCs w:val="15"/>
        </w:rPr>
      </w:pPr>
    </w:p>
    <w:p w:rsidR="00ED50E6" w:rsidRPr="00B810D0" w:rsidRDefault="001A19E0" w:rsidP="00D7478E">
      <w:pPr>
        <w:pStyle w:val="ProductList-Body"/>
        <w:tabs>
          <w:tab w:val="clear" w:pos="158"/>
          <w:tab w:val="left" w:pos="360"/>
        </w:tabs>
        <w:ind w:left="180"/>
      </w:pPr>
      <w:r>
        <w:rPr>
          <w:b/>
          <w:color w:val="0072C6"/>
        </w:rPr>
        <w:t>Reuniões Online</w:t>
      </w:r>
    </w:p>
    <w:p w:rsidR="001A19E0" w:rsidRPr="00B810D0" w:rsidRDefault="001A19E0" w:rsidP="00D7478E">
      <w:pPr>
        <w:pStyle w:val="ProductList-Body"/>
        <w:tabs>
          <w:tab w:val="clear" w:pos="158"/>
          <w:tab w:val="left" w:pos="360"/>
        </w:tabs>
        <w:ind w:left="180"/>
      </w:pPr>
      <w:r>
        <w:t>Um usuário final poderá realizar com outros usuários finais reuniões na Internet com recursos de conferência de áudio e vídeo.</w:t>
      </w:r>
    </w:p>
    <w:p w:rsidR="00E93FD0" w:rsidRPr="00B810D0" w:rsidRDefault="00EA64EF" w:rsidP="00E93FD0">
      <w:pPr>
        <w:pStyle w:val="ProductList-Body"/>
        <w:shd w:val="clear" w:color="auto" w:fill="A6A6A6" w:themeFill="background1" w:themeFillShade="A6"/>
        <w:spacing w:before="120" w:after="240"/>
        <w:jc w:val="right"/>
      </w:pPr>
      <w:hyperlink w:anchor="TableofContents" w:history="1">
        <w:r w:rsidR="00D40000">
          <w:rPr>
            <w:rStyle w:val="Hyperlink"/>
            <w:sz w:val="16"/>
            <w:szCs w:val="16"/>
          </w:rPr>
          <w:t>Sumário</w:t>
        </w:r>
      </w:hyperlink>
      <w:r w:rsidR="00D40000">
        <w:rPr>
          <w:sz w:val="16"/>
          <w:szCs w:val="16"/>
        </w:rPr>
        <w:t>/</w:t>
      </w:r>
      <w:hyperlink w:anchor="GeneralTerms" w:history="1">
        <w:r w:rsidR="00D40000">
          <w:rPr>
            <w:rStyle w:val="Hyperlink"/>
            <w:sz w:val="16"/>
            <w:szCs w:val="16"/>
          </w:rPr>
          <w:t>Termos Gerais</w:t>
        </w:r>
      </w:hyperlink>
      <w:r w:rsidR="00600D17">
        <w:t xml:space="preserve"> </w:t>
      </w:r>
    </w:p>
    <w:p w:rsidR="00E93FD0" w:rsidRPr="00B810D0" w:rsidRDefault="00E93FD0" w:rsidP="00E93FD0">
      <w:pPr>
        <w:pStyle w:val="ProductList-Offering2Heading"/>
      </w:pPr>
      <w:r>
        <w:tab/>
      </w:r>
      <w:bookmarkStart w:id="56" w:name="_Toc391645813"/>
      <w:r>
        <w:t>Aplicativos do Office 365</w:t>
      </w:r>
      <w:bookmarkEnd w:id="56"/>
    </w:p>
    <w:p w:rsidR="00E93FD0" w:rsidRPr="00B810D0" w:rsidRDefault="00E93FD0" w:rsidP="00EF1E73">
      <w:pPr>
        <w:pStyle w:val="ProductList-Body"/>
      </w:pPr>
      <w:r>
        <w:rPr>
          <w:rFonts w:asciiTheme="majorHAnsi" w:hAnsiTheme="majorHAnsi"/>
          <w:sz w:val="16"/>
          <w:szCs w:val="16"/>
        </w:rPr>
        <w:t>Office 365 ProPlus</w:t>
      </w:r>
    </w:p>
    <w:p w:rsidR="005B7124" w:rsidRPr="00B810D0" w:rsidRDefault="005B7124" w:rsidP="00EF1E73">
      <w:pPr>
        <w:pStyle w:val="ProductList-Body"/>
      </w:pPr>
      <w:r>
        <w:rPr>
          <w:rFonts w:asciiTheme="majorHAnsi" w:hAnsiTheme="majorHAnsi"/>
          <w:sz w:val="16"/>
          <w:szCs w:val="16"/>
        </w:rPr>
        <w:t>Project Pro para Office 365</w:t>
      </w:r>
    </w:p>
    <w:p w:rsidR="005B7124" w:rsidRPr="00B810D0" w:rsidRDefault="005B7124" w:rsidP="00EF1E73">
      <w:pPr>
        <w:pStyle w:val="ProductList-Body"/>
      </w:pPr>
      <w:r>
        <w:rPr>
          <w:rFonts w:asciiTheme="majorHAnsi" w:hAnsiTheme="majorHAnsi"/>
          <w:sz w:val="16"/>
          <w:szCs w:val="16"/>
        </w:rPr>
        <w:t>Visio Pro para Office 365</w:t>
      </w:r>
    </w:p>
    <w:p w:rsidR="00123E7D" w:rsidRPr="004F57D5" w:rsidRDefault="00123E7D" w:rsidP="00123E7D">
      <w:pPr>
        <w:pStyle w:val="ProductList-Body"/>
        <w:pBdr>
          <w:top w:val="single" w:sz="4" w:space="1" w:color="BFBFBF" w:themeColor="background1" w:themeShade="BF"/>
        </w:pBdr>
        <w:rPr>
          <w:b/>
          <w:color w:val="000000" w:themeColor="text1"/>
          <w:sz w:val="8"/>
          <w:szCs w:val="8"/>
        </w:rPr>
      </w:pPr>
    </w:p>
    <w:p w:rsidR="00123E7D" w:rsidRPr="00B810D0" w:rsidRDefault="00123E7D" w:rsidP="00123E7D">
      <w:pPr>
        <w:pStyle w:val="ProductList-Body"/>
      </w:pPr>
      <w:r>
        <w:rPr>
          <w:b/>
          <w:color w:val="00188F"/>
        </w:rPr>
        <w:t>Contrato de Nível de Serviço</w:t>
      </w:r>
    </w:p>
    <w:p w:rsidR="00123E7D" w:rsidRPr="00B810D0" w:rsidRDefault="00123E7D" w:rsidP="00123E7D">
      <w:pPr>
        <w:pStyle w:val="ProductList-Body"/>
      </w:pPr>
      <w:r>
        <w:t>Não há SLA para esses Produtos.</w:t>
      </w:r>
    </w:p>
    <w:p w:rsidR="00123E7D" w:rsidRPr="00AA6E26" w:rsidRDefault="00123E7D" w:rsidP="00123E7D">
      <w:pPr>
        <w:pStyle w:val="ProductList-Body"/>
        <w:rPr>
          <w:sz w:val="15"/>
          <w:szCs w:val="15"/>
        </w:rPr>
      </w:pPr>
    </w:p>
    <w:p w:rsidR="007A78D1" w:rsidRPr="00B810D0" w:rsidRDefault="007A78D1" w:rsidP="00123E7D">
      <w:pPr>
        <w:pStyle w:val="ProductList-Body"/>
        <w:tabs>
          <w:tab w:val="clear" w:pos="158"/>
          <w:tab w:val="left" w:pos="180"/>
        </w:tabs>
      </w:pPr>
      <w:r>
        <w:rPr>
          <w:b/>
          <w:color w:val="00188F"/>
        </w:rPr>
        <w:t>Direitos de Instalação e Uso</w:t>
      </w:r>
    </w:p>
    <w:p w:rsidR="007A78D1" w:rsidRPr="00B810D0" w:rsidRDefault="007A78D1" w:rsidP="00123E7D">
      <w:pPr>
        <w:pStyle w:val="ProductList-Body"/>
        <w:tabs>
          <w:tab w:val="clear" w:pos="158"/>
          <w:tab w:val="left" w:pos="180"/>
        </w:tabs>
      </w:pPr>
      <w:r>
        <w:t>Cada usuário ao qual o Cliente ceder uma SL de Usuário deverá ter uma Conta da Microsoft a fim de usar o software fornecido com a assinatura. Esses usuários:</w:t>
      </w:r>
    </w:p>
    <w:p w:rsidR="007A78D1" w:rsidRPr="00B810D0" w:rsidRDefault="007A78D1" w:rsidP="00123E7D">
      <w:pPr>
        <w:pStyle w:val="ProductList-Body"/>
        <w:numPr>
          <w:ilvl w:val="0"/>
          <w:numId w:val="17"/>
        </w:numPr>
        <w:ind w:left="450" w:hanging="270"/>
      </w:pPr>
      <w:r>
        <w:t>poderão ativar o software fornecido com a SL em até cinco OSEs simultaneamente para uso local ou remoto;</w:t>
      </w:r>
    </w:p>
    <w:p w:rsidR="007A78D1" w:rsidRPr="00B810D0" w:rsidRDefault="007A78D1" w:rsidP="00123E7D">
      <w:pPr>
        <w:pStyle w:val="ProductList-Body"/>
        <w:numPr>
          <w:ilvl w:val="0"/>
          <w:numId w:val="17"/>
        </w:numPr>
        <w:spacing w:before="40"/>
        <w:ind w:left="450" w:hanging="274"/>
      </w:pPr>
      <w:r>
        <w:t xml:space="preserve">poderão usar uma das cinco ativações em um servidor de rede com a função Serviços de Área de Trabalho Remota (RDS) habilitada (consulte a Lista de Produtos, localizada no site </w:t>
      </w:r>
      <w:hyperlink r:id="rId35" w:history="1">
        <w:r>
          <w:rPr>
            <w:rStyle w:val="Hyperlink"/>
          </w:rPr>
          <w:t>http://go.microsoft.com/?linkid=9839207</w:t>
        </w:r>
      </w:hyperlink>
      <w:r w:rsidRPr="00ED7512">
        <w:rPr>
          <w:rStyle w:val="Hyperlink"/>
          <w:u w:val="none"/>
        </w:rPr>
        <w:t>,</w:t>
      </w:r>
      <w:r>
        <w:t xml:space="preserve"> para obter informações sobre opções de implantação ao usar RDS). Para os fins desse direito de uso, “servidor” significa um hardware físico dedicado exclusivamente ao Cliente. Esta cláusula não se aplica aos Clientes que licenciam esses Produtos de acordo com o Contrato de Assinatura do Microsoft Online ou outro contrato da Microsoft que abranja apenas Serviços Online e</w:t>
      </w:r>
    </w:p>
    <w:p w:rsidR="007A78D1" w:rsidRPr="00B810D0" w:rsidRDefault="007A78D1" w:rsidP="00123E7D">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rsidR="004A2A95" w:rsidRPr="00AA6E26" w:rsidRDefault="004A2A95" w:rsidP="004A2A95">
      <w:pPr>
        <w:pStyle w:val="ProductList-Body"/>
        <w:ind w:left="180"/>
        <w:rPr>
          <w:sz w:val="15"/>
          <w:szCs w:val="15"/>
        </w:rPr>
      </w:pPr>
    </w:p>
    <w:p w:rsidR="009427A1" w:rsidRPr="00B810D0" w:rsidRDefault="009427A1" w:rsidP="009427A1">
      <w:pPr>
        <w:pStyle w:val="ProductList-Body"/>
      </w:pPr>
      <w:r>
        <w:rPr>
          <w:b/>
          <w:color w:val="00188F"/>
        </w:rPr>
        <w:t>Os termos a seguir se aplicam apenas ao Office 365 ProPlus</w:t>
      </w:r>
    </w:p>
    <w:p w:rsidR="009427A1" w:rsidRPr="00B810D0" w:rsidRDefault="009427A1" w:rsidP="009427A1">
      <w:pPr>
        <w:pStyle w:val="ProductList-Body"/>
        <w:ind w:left="180"/>
      </w:pPr>
      <w:r>
        <w:rPr>
          <w:b/>
          <w:color w:val="0072C6"/>
        </w:rPr>
        <w:t>Smartphones e Tablets</w:t>
      </w:r>
    </w:p>
    <w:p w:rsidR="009427A1" w:rsidRPr="00B810D0" w:rsidRDefault="009427A1" w:rsidP="009427A1">
      <w:pPr>
        <w:pStyle w:val="ProductList-Body"/>
        <w:ind w:left="180"/>
      </w:pPr>
      <w:r>
        <w:t>Cada usuário ao qual o Cliente ceder uma SL de Usuário também poderá ativar o software Microsoft Office Mobile para criar, editar ou salvar documentos em até cinco smartphones e cinco tablets.</w:t>
      </w:r>
    </w:p>
    <w:p w:rsidR="009427A1" w:rsidRPr="00AA6E26" w:rsidRDefault="009427A1" w:rsidP="009427A1">
      <w:pPr>
        <w:pStyle w:val="ProductList-Body"/>
        <w:ind w:left="180"/>
        <w:rPr>
          <w:sz w:val="15"/>
          <w:szCs w:val="15"/>
        </w:rPr>
      </w:pPr>
    </w:p>
    <w:p w:rsidR="009427A1" w:rsidRPr="00B810D0" w:rsidRDefault="009427A1" w:rsidP="009427A1">
      <w:pPr>
        <w:pStyle w:val="ProductList-Body"/>
        <w:ind w:left="180"/>
      </w:pPr>
      <w:r>
        <w:rPr>
          <w:b/>
          <w:color w:val="0072C6"/>
        </w:rPr>
        <w:t>Uso Comercial do Office Home &amp; Student 2013 RT</w:t>
      </w:r>
    </w:p>
    <w:p w:rsidR="009427A1" w:rsidRPr="00B810D0"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w:t>
      </w:r>
      <w:r w:rsidR="00D40000">
        <w:t> </w:t>
      </w:r>
      <w:r>
        <w:t>software, todo o uso permanece sujeito aos termos e direitos de uso fornecidos com a Licença do Office Home &amp; Student 2013 RT.</w:t>
      </w:r>
    </w:p>
    <w:p w:rsidR="009427A1" w:rsidRPr="00AA6E26" w:rsidRDefault="009427A1" w:rsidP="009427A1">
      <w:pPr>
        <w:pStyle w:val="ProductList-Body"/>
        <w:ind w:left="180"/>
        <w:rPr>
          <w:sz w:val="15"/>
          <w:szCs w:val="15"/>
        </w:rPr>
      </w:pPr>
    </w:p>
    <w:p w:rsidR="009427A1" w:rsidRPr="00B810D0" w:rsidRDefault="009427A1" w:rsidP="009427A1">
      <w:pPr>
        <w:pStyle w:val="ProductList-Body"/>
        <w:ind w:left="180"/>
      </w:pPr>
      <w:r>
        <w:rPr>
          <w:b/>
          <w:color w:val="0072C6"/>
        </w:rPr>
        <w:t>Office Web Apps Server 2013</w:t>
      </w:r>
    </w:p>
    <w:p w:rsidR="009427A1" w:rsidRPr="00B810D0" w:rsidRDefault="009427A1" w:rsidP="009427A1">
      <w:pPr>
        <w:pStyle w:val="ProductList-Body"/>
        <w:ind w:left="180"/>
      </w:pPr>
      <w:r>
        <w:t>Todos os usuários do Office 365 ProPlus poderão usar o software Office Web Apps Server 2013. Esta cláusula não se aplica aos Clientes que licenciam esse Produto de acordo com o Contrato de Assinatura do Microsoft Online ou outro contrato da Microsoft que abranja apenas Serviços</w:t>
      </w:r>
      <w:r w:rsidR="00D40000">
        <w:t> </w:t>
      </w:r>
      <w:r>
        <w:t>Online.</w:t>
      </w:r>
    </w:p>
    <w:p w:rsidR="005B7124" w:rsidRPr="00AA6E26" w:rsidRDefault="005B7124" w:rsidP="005B7124">
      <w:pPr>
        <w:pStyle w:val="ProductList-Body"/>
        <w:rPr>
          <w:sz w:val="15"/>
          <w:szCs w:val="15"/>
        </w:rPr>
      </w:pPr>
    </w:p>
    <w:p w:rsidR="005B7124" w:rsidRPr="00B810D0" w:rsidRDefault="005B7124" w:rsidP="005B7124">
      <w:pPr>
        <w:pStyle w:val="ProductList-Body"/>
        <w:ind w:left="180"/>
      </w:pPr>
      <w:r>
        <w:rPr>
          <w:b/>
          <w:color w:val="0072C6"/>
        </w:rPr>
        <w:t>Pacotes de Licenças de Assinatura.</w:t>
      </w:r>
    </w:p>
    <w:p w:rsidR="005B7124" w:rsidRPr="00B810D0"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rsidR="009C1170" w:rsidRPr="00B810D0" w:rsidRDefault="00EA64EF" w:rsidP="009C1170">
      <w:pPr>
        <w:pStyle w:val="ProductList-Body"/>
        <w:shd w:val="clear" w:color="auto" w:fill="A6A6A6" w:themeFill="background1" w:themeFillShade="A6"/>
        <w:spacing w:before="120" w:after="240"/>
        <w:jc w:val="right"/>
      </w:pPr>
      <w:hyperlink w:anchor="TableofContents" w:history="1">
        <w:r w:rsidR="00D40000">
          <w:rPr>
            <w:rStyle w:val="Hyperlink"/>
            <w:sz w:val="16"/>
            <w:szCs w:val="16"/>
          </w:rPr>
          <w:t>Sumário</w:t>
        </w:r>
      </w:hyperlink>
      <w:r w:rsidR="00D40000">
        <w:rPr>
          <w:sz w:val="16"/>
          <w:szCs w:val="16"/>
        </w:rPr>
        <w:t>/</w:t>
      </w:r>
      <w:hyperlink w:anchor="GeneralTerms" w:history="1">
        <w:r w:rsidR="00D40000">
          <w:rPr>
            <w:rStyle w:val="Hyperlink"/>
            <w:sz w:val="16"/>
            <w:szCs w:val="16"/>
          </w:rPr>
          <w:t>Termos Gerais</w:t>
        </w:r>
      </w:hyperlink>
    </w:p>
    <w:p w:rsidR="00976EB6" w:rsidRPr="00B810D0" w:rsidRDefault="00976EB6" w:rsidP="00976EB6">
      <w:pPr>
        <w:pStyle w:val="ProductList-Offering2Heading"/>
      </w:pPr>
      <w:r>
        <w:tab/>
      </w:r>
      <w:bookmarkStart w:id="57" w:name="_Toc391645814"/>
      <w:r>
        <w:t>Office Online</w:t>
      </w:r>
      <w:bookmarkEnd w:id="57"/>
    </w:p>
    <w:p w:rsidR="00D7478E" w:rsidRPr="00B810D0" w:rsidRDefault="00D7478E" w:rsidP="00D7478E">
      <w:pPr>
        <w:pStyle w:val="ProductList-Body"/>
      </w:pPr>
      <w:r>
        <w:rPr>
          <w:b/>
          <w:color w:val="00188F"/>
        </w:rPr>
        <w:t>Principais Recursos dos Serviços do Office 365</w:t>
      </w:r>
    </w:p>
    <w:p w:rsidR="00D7478E" w:rsidRPr="00B810D0" w:rsidRDefault="00D7478E" w:rsidP="00D7478E">
      <w:pPr>
        <w:pStyle w:val="ProductList-Body"/>
        <w:spacing w:after="120"/>
      </w:pPr>
      <w:r>
        <w:t xml:space="preserve">O Office Online ou seu serviço sucessor terá as seguintes funções de </w:t>
      </w:r>
      <w:hyperlink w:anchor="CoreFeaturesforOffice365Services" w:history="1">
        <w:r>
          <w:rPr>
            <w:rStyle w:val="Hyperlink"/>
          </w:rPr>
          <w:t>Principais Recursos</w:t>
        </w:r>
      </w:hyperlink>
      <w:r>
        <w:t>:</w:t>
      </w:r>
    </w:p>
    <w:p w:rsidR="00976EB6" w:rsidRPr="00B810D0" w:rsidRDefault="00976EB6" w:rsidP="00D7478E">
      <w:pPr>
        <w:pStyle w:val="ProductList-Body"/>
        <w:ind w:left="180"/>
      </w:pPr>
      <w:r>
        <w:t>Um usuário final poderá criar, exibir e editar documentos em tipos de arquivo do Microsoft Word, do Excel, do PowerPoint e do OneNote que sejam compatíveis com o Office Online ou seu serviço sucessor.</w:t>
      </w:r>
    </w:p>
    <w:p w:rsidR="00976EB6" w:rsidRPr="00AA6E26" w:rsidRDefault="00976EB6" w:rsidP="00976EB6">
      <w:pPr>
        <w:pStyle w:val="ProductList-Body"/>
        <w:tabs>
          <w:tab w:val="clear" w:pos="158"/>
          <w:tab w:val="left" w:pos="180"/>
        </w:tabs>
        <w:rPr>
          <w:sz w:val="15"/>
          <w:szCs w:val="15"/>
        </w:rPr>
      </w:pPr>
    </w:p>
    <w:p w:rsidR="00976EB6" w:rsidRPr="00B810D0" w:rsidRDefault="00976EB6" w:rsidP="00976EB6">
      <w:pPr>
        <w:pStyle w:val="ProductList-Body"/>
        <w:tabs>
          <w:tab w:val="clear" w:pos="158"/>
          <w:tab w:val="left" w:pos="180"/>
        </w:tabs>
      </w:pPr>
      <w:r>
        <w:rPr>
          <w:b/>
          <w:color w:val="00188F"/>
        </w:rPr>
        <w:t>Usuários Externos</w:t>
      </w:r>
    </w:p>
    <w:p w:rsidR="00976EB6" w:rsidRPr="00B810D0"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rsidR="00976EB6" w:rsidRPr="00B810D0" w:rsidRDefault="00EA64EF" w:rsidP="00976EB6">
      <w:pPr>
        <w:pStyle w:val="ProductList-Body"/>
        <w:shd w:val="clear" w:color="auto" w:fill="A6A6A6" w:themeFill="background1" w:themeFillShade="A6"/>
        <w:spacing w:before="120" w:after="240"/>
        <w:jc w:val="right"/>
      </w:pPr>
      <w:hyperlink w:anchor="TableofContents" w:history="1">
        <w:r w:rsidR="00AA6E26">
          <w:rPr>
            <w:rStyle w:val="Hyperlink"/>
            <w:sz w:val="16"/>
            <w:szCs w:val="16"/>
          </w:rPr>
          <w:t>Sumário</w:t>
        </w:r>
      </w:hyperlink>
      <w:r w:rsidR="00AA6E26">
        <w:rPr>
          <w:sz w:val="16"/>
          <w:szCs w:val="16"/>
        </w:rPr>
        <w:t>/</w:t>
      </w:r>
      <w:hyperlink w:anchor="GeneralTerms" w:history="1">
        <w:r w:rsidR="00AA6E26">
          <w:rPr>
            <w:rStyle w:val="Hyperlink"/>
            <w:sz w:val="16"/>
            <w:szCs w:val="16"/>
          </w:rPr>
          <w:t>Termos Gerais</w:t>
        </w:r>
      </w:hyperlink>
      <w:r w:rsidR="00600D17">
        <w:t xml:space="preserve"> </w:t>
      </w:r>
    </w:p>
    <w:p w:rsidR="005B7124" w:rsidRPr="00B810D0" w:rsidRDefault="005B7124" w:rsidP="005B7124">
      <w:pPr>
        <w:pStyle w:val="ProductList-Offering2Heading"/>
      </w:pPr>
      <w:r>
        <w:tab/>
      </w:r>
      <w:bookmarkStart w:id="58" w:name="_Toc391645815"/>
      <w:r>
        <w:t>OneDrive para Business</w:t>
      </w:r>
      <w:bookmarkEnd w:id="58"/>
    </w:p>
    <w:p w:rsidR="006523C8" w:rsidRPr="00B810D0" w:rsidRDefault="006523C8" w:rsidP="006523C8">
      <w:pPr>
        <w:pStyle w:val="ProductList-Body"/>
        <w:tabs>
          <w:tab w:val="clear" w:pos="158"/>
          <w:tab w:val="left" w:pos="180"/>
        </w:tabs>
      </w:pPr>
      <w:r>
        <w:rPr>
          <w:b/>
          <w:color w:val="00188F"/>
        </w:rPr>
        <w:t>SLs Complementares de Armazenamento</w:t>
      </w:r>
    </w:p>
    <w:p w:rsidR="005B7124" w:rsidRPr="00B810D0" w:rsidRDefault="006523C8" w:rsidP="006523C8">
      <w:pPr>
        <w:pStyle w:val="ProductList-Body"/>
        <w:tabs>
          <w:tab w:val="clear" w:pos="158"/>
          <w:tab w:val="left" w:pos="180"/>
        </w:tabs>
      </w:pPr>
      <w:r>
        <w:t>O Armazenamento Extra de Arquivos do Office 365 é necessário para cada gigabyte que exceda o armazenamento fornecido com SLs de Usuário para o OneDrive for Business.</w:t>
      </w:r>
    </w:p>
    <w:p w:rsidR="006523C8" w:rsidRPr="00B810D0" w:rsidRDefault="006523C8" w:rsidP="006523C8">
      <w:pPr>
        <w:pStyle w:val="ProductList-Body"/>
        <w:tabs>
          <w:tab w:val="clear" w:pos="158"/>
          <w:tab w:val="left" w:pos="180"/>
        </w:tabs>
      </w:pPr>
    </w:p>
    <w:p w:rsidR="006523C8" w:rsidRPr="00B810D0" w:rsidRDefault="006523C8" w:rsidP="006523C8">
      <w:pPr>
        <w:pStyle w:val="ProductList-Body"/>
        <w:tabs>
          <w:tab w:val="clear" w:pos="158"/>
          <w:tab w:val="left" w:pos="180"/>
        </w:tabs>
      </w:pPr>
      <w:r>
        <w:rPr>
          <w:b/>
          <w:color w:val="00188F"/>
        </w:rPr>
        <w:t>Usuários Externos</w:t>
      </w:r>
    </w:p>
    <w:p w:rsidR="006523C8" w:rsidRPr="00B810D0"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rsidR="005B7124" w:rsidRPr="00B810D0" w:rsidRDefault="00EA64EF" w:rsidP="005B7124">
      <w:pPr>
        <w:pStyle w:val="ProductList-Body"/>
        <w:shd w:val="clear" w:color="auto" w:fill="A6A6A6" w:themeFill="background1" w:themeFillShade="A6"/>
        <w:spacing w:before="120" w:after="240"/>
        <w:jc w:val="right"/>
      </w:pPr>
      <w:hyperlink w:anchor="TableofContents" w:history="1">
        <w:r w:rsidR="00AA6E26">
          <w:rPr>
            <w:rStyle w:val="Hyperlink"/>
            <w:sz w:val="16"/>
            <w:szCs w:val="16"/>
          </w:rPr>
          <w:t>Sumário</w:t>
        </w:r>
      </w:hyperlink>
      <w:r w:rsidR="00AA6E26">
        <w:rPr>
          <w:sz w:val="16"/>
          <w:szCs w:val="16"/>
        </w:rPr>
        <w:t>/</w:t>
      </w:r>
      <w:hyperlink w:anchor="GeneralTerms" w:history="1">
        <w:r w:rsidR="00AA6E26">
          <w:rPr>
            <w:rStyle w:val="Hyperlink"/>
            <w:sz w:val="16"/>
            <w:szCs w:val="16"/>
          </w:rPr>
          <w:t>Termos Gerais</w:t>
        </w:r>
      </w:hyperlink>
      <w:r w:rsidR="00600D17">
        <w:t xml:space="preserve"> </w:t>
      </w:r>
    </w:p>
    <w:p w:rsidR="005B7124" w:rsidRPr="00B810D0" w:rsidRDefault="005B7124" w:rsidP="005B7124">
      <w:pPr>
        <w:pStyle w:val="ProductList-Offering2Heading"/>
      </w:pPr>
      <w:r>
        <w:tab/>
      </w:r>
      <w:bookmarkStart w:id="59" w:name="_Toc391645816"/>
      <w:r>
        <w:t>Project Online</w:t>
      </w:r>
      <w:bookmarkEnd w:id="59"/>
    </w:p>
    <w:p w:rsidR="005B7124" w:rsidRPr="00B810D0" w:rsidRDefault="005B7124" w:rsidP="00EF1E73">
      <w:pPr>
        <w:pStyle w:val="ProductList-Body"/>
      </w:pPr>
      <w:r>
        <w:rPr>
          <w:rFonts w:asciiTheme="majorHAnsi" w:hAnsiTheme="majorHAnsi"/>
          <w:sz w:val="16"/>
          <w:szCs w:val="16"/>
        </w:rPr>
        <w:t>Project Lite</w:t>
      </w:r>
    </w:p>
    <w:p w:rsidR="005B7124" w:rsidRPr="00B810D0" w:rsidRDefault="005B7124" w:rsidP="00EF1E73">
      <w:pPr>
        <w:pStyle w:val="ProductList-Body"/>
      </w:pPr>
      <w:r>
        <w:rPr>
          <w:rFonts w:asciiTheme="majorHAnsi" w:hAnsiTheme="majorHAnsi"/>
          <w:sz w:val="16"/>
          <w:szCs w:val="16"/>
        </w:rPr>
        <w:t>Project Online</w:t>
      </w:r>
    </w:p>
    <w:p w:rsidR="00581CDB" w:rsidRPr="004F57D5" w:rsidRDefault="00581CDB" w:rsidP="00581CDB">
      <w:pPr>
        <w:pStyle w:val="ProductList-Body"/>
        <w:pBdr>
          <w:top w:val="single" w:sz="4" w:space="1" w:color="BFBFBF" w:themeColor="background1" w:themeShade="BF"/>
        </w:pBdr>
        <w:rPr>
          <w:b/>
          <w:color w:val="000000" w:themeColor="text1"/>
          <w:sz w:val="8"/>
          <w:szCs w:val="8"/>
        </w:rPr>
      </w:pPr>
    </w:p>
    <w:p w:rsidR="005B7124" w:rsidRPr="00B810D0" w:rsidRDefault="00EA64EF" w:rsidP="005B7124">
      <w:pPr>
        <w:pStyle w:val="ProductList-Body"/>
        <w:shd w:val="clear" w:color="auto" w:fill="A6A6A6" w:themeFill="background1" w:themeFillShade="A6"/>
        <w:spacing w:before="120" w:after="240"/>
        <w:jc w:val="right"/>
      </w:pPr>
      <w:hyperlink w:anchor="TableofContents" w:history="1">
        <w:r w:rsidR="00AA6E26">
          <w:rPr>
            <w:rStyle w:val="Hyperlink"/>
            <w:sz w:val="16"/>
            <w:szCs w:val="16"/>
          </w:rPr>
          <w:t>Sumário</w:t>
        </w:r>
      </w:hyperlink>
      <w:r w:rsidR="00AA6E26">
        <w:rPr>
          <w:sz w:val="16"/>
          <w:szCs w:val="16"/>
        </w:rPr>
        <w:t>/</w:t>
      </w:r>
      <w:hyperlink w:anchor="GeneralTerms" w:history="1">
        <w:r w:rsidR="00AA6E26">
          <w:rPr>
            <w:rStyle w:val="Hyperlink"/>
            <w:sz w:val="16"/>
            <w:szCs w:val="16"/>
          </w:rPr>
          <w:t>Termos Gerais</w:t>
        </w:r>
      </w:hyperlink>
      <w:r w:rsidR="00600D17">
        <w:t xml:space="preserve"> </w:t>
      </w:r>
    </w:p>
    <w:p w:rsidR="005B7124" w:rsidRPr="00B810D0" w:rsidRDefault="005B7124" w:rsidP="005B7124">
      <w:pPr>
        <w:pStyle w:val="ProductList-Offering2Heading"/>
      </w:pPr>
      <w:r>
        <w:tab/>
      </w:r>
      <w:bookmarkStart w:id="60" w:name="_Toc391645817"/>
      <w:r>
        <w:t>SharePoint Online</w:t>
      </w:r>
      <w:bookmarkEnd w:id="6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B810D0" w:rsidRDefault="00976EB6" w:rsidP="00866323">
      <w:pPr>
        <w:pStyle w:val="ProductList-Body"/>
      </w:pPr>
      <w:r>
        <w:rPr>
          <w:rFonts w:asciiTheme="majorHAnsi" w:hAnsiTheme="majorHAnsi"/>
          <w:sz w:val="16"/>
          <w:szCs w:val="16"/>
        </w:rPr>
        <w:t>Duet Enterprise Online para Microsoft SharePoint e SAP</w:t>
      </w:r>
    </w:p>
    <w:p w:rsidR="005B7124" w:rsidRPr="00B810D0" w:rsidRDefault="005B7124" w:rsidP="00866323">
      <w:pPr>
        <w:pStyle w:val="ProductList-Body"/>
      </w:pPr>
      <w:r>
        <w:rPr>
          <w:rFonts w:asciiTheme="majorHAnsi" w:hAnsiTheme="majorHAnsi"/>
          <w:sz w:val="16"/>
          <w:szCs w:val="16"/>
        </w:rPr>
        <w:t>Quiosque do SharePoint Online</w:t>
      </w:r>
    </w:p>
    <w:p w:rsidR="005B7124" w:rsidRPr="00B810D0" w:rsidRDefault="005B7124" w:rsidP="00866323">
      <w:pPr>
        <w:pStyle w:val="ProductList-Body"/>
      </w:pPr>
      <w:r>
        <w:rPr>
          <w:rFonts w:asciiTheme="majorHAnsi" w:hAnsiTheme="majorHAnsi"/>
          <w:sz w:val="16"/>
          <w:szCs w:val="16"/>
        </w:rPr>
        <w:t>SharePoint Online - Plano 1</w:t>
      </w:r>
    </w:p>
    <w:p w:rsidR="005B7124" w:rsidRPr="00B810D0" w:rsidRDefault="005B7124" w:rsidP="00866323">
      <w:pPr>
        <w:pStyle w:val="ProductList-Body"/>
      </w:pPr>
      <w:r>
        <w:rPr>
          <w:rFonts w:asciiTheme="majorHAnsi" w:hAnsiTheme="majorHAnsi"/>
          <w:sz w:val="16"/>
          <w:szCs w:val="16"/>
        </w:rPr>
        <w:t>SharePoint Online - Plano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4F57D5" w:rsidRDefault="00581CDB" w:rsidP="00581CDB">
      <w:pPr>
        <w:pStyle w:val="ProductList-Body"/>
        <w:pBdr>
          <w:top w:val="single" w:sz="4" w:space="1" w:color="BFBFBF" w:themeColor="background1" w:themeShade="BF"/>
        </w:pBdr>
        <w:rPr>
          <w:b/>
          <w:color w:val="000000" w:themeColor="text1"/>
          <w:sz w:val="8"/>
          <w:szCs w:val="8"/>
        </w:rPr>
      </w:pPr>
    </w:p>
    <w:p w:rsidR="00D7478E" w:rsidRPr="00B810D0" w:rsidRDefault="00D7478E" w:rsidP="00D7478E">
      <w:pPr>
        <w:pStyle w:val="ProductList-Body"/>
      </w:pPr>
      <w:r>
        <w:rPr>
          <w:b/>
          <w:color w:val="00188F"/>
        </w:rPr>
        <w:t>Principais Recursos dos Serviços do Office 365</w:t>
      </w:r>
    </w:p>
    <w:p w:rsidR="00D7478E" w:rsidRPr="00B810D0"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rsidR="00D7478E" w:rsidRPr="00B810D0" w:rsidRDefault="00D7478E" w:rsidP="00D7478E">
      <w:pPr>
        <w:pStyle w:val="ProductList-Body"/>
      </w:pPr>
    </w:p>
    <w:p w:rsidR="00ED50E6" w:rsidRPr="00B810D0" w:rsidRDefault="001A19E0" w:rsidP="00D7478E">
      <w:pPr>
        <w:pStyle w:val="ProductList-Body"/>
        <w:tabs>
          <w:tab w:val="clear" w:pos="158"/>
          <w:tab w:val="left" w:pos="180"/>
        </w:tabs>
        <w:ind w:left="180"/>
      </w:pPr>
      <w:r>
        <w:rPr>
          <w:b/>
          <w:color w:val="0072C6"/>
        </w:rPr>
        <w:t>Sites de Colaboração</w:t>
      </w:r>
    </w:p>
    <w:p w:rsidR="001A19E0" w:rsidRPr="00B810D0"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rsidR="00ED50E6" w:rsidRPr="00B810D0" w:rsidRDefault="00ED50E6" w:rsidP="00D7478E">
      <w:pPr>
        <w:pStyle w:val="ProductList-Body"/>
        <w:tabs>
          <w:tab w:val="clear" w:pos="158"/>
          <w:tab w:val="left" w:pos="180"/>
        </w:tabs>
        <w:ind w:left="180"/>
      </w:pPr>
    </w:p>
    <w:p w:rsidR="00ED50E6" w:rsidRPr="00B810D0" w:rsidRDefault="001A19E0" w:rsidP="00D7478E">
      <w:pPr>
        <w:pStyle w:val="ProductList-Body"/>
        <w:tabs>
          <w:tab w:val="clear" w:pos="158"/>
          <w:tab w:val="left" w:pos="180"/>
        </w:tabs>
        <w:ind w:left="180"/>
      </w:pPr>
      <w:r>
        <w:rPr>
          <w:b/>
          <w:color w:val="0072C6"/>
        </w:rPr>
        <w:t>Armazenamento</w:t>
      </w:r>
    </w:p>
    <w:p w:rsidR="001A19E0" w:rsidRPr="00B810D0" w:rsidRDefault="001A19E0" w:rsidP="00D7478E">
      <w:pPr>
        <w:pStyle w:val="ProductList-Body"/>
        <w:tabs>
          <w:tab w:val="clear" w:pos="158"/>
          <w:tab w:val="left" w:pos="180"/>
        </w:tabs>
        <w:ind w:left="180"/>
      </w:pPr>
      <w:r>
        <w:t>O Cliente poderá definir limites de capacidade de armazenamento para um site criado por um usuário final.</w:t>
      </w:r>
    </w:p>
    <w:p w:rsidR="00ED50E6" w:rsidRPr="00B810D0" w:rsidRDefault="00ED50E6" w:rsidP="001A19E0">
      <w:pPr>
        <w:pStyle w:val="ProductList-Body"/>
      </w:pPr>
    </w:p>
    <w:p w:rsidR="00974EAE" w:rsidRPr="00B810D0" w:rsidRDefault="001A19E0" w:rsidP="006523C8">
      <w:pPr>
        <w:pStyle w:val="ProductList-Body"/>
        <w:tabs>
          <w:tab w:val="clear" w:pos="158"/>
          <w:tab w:val="left" w:pos="180"/>
        </w:tabs>
      </w:pPr>
      <w:r>
        <w:rPr>
          <w:b/>
          <w:color w:val="00188F"/>
        </w:rPr>
        <w:t>Usuários Externos</w:t>
      </w:r>
    </w:p>
    <w:p w:rsidR="001A19E0" w:rsidRPr="00B810D0" w:rsidRDefault="001A19E0" w:rsidP="006523C8">
      <w:pPr>
        <w:pStyle w:val="ProductList-Body"/>
        <w:tabs>
          <w:tab w:val="clear" w:pos="158"/>
          <w:tab w:val="left" w:pos="180"/>
        </w:tabs>
      </w:pPr>
      <w:r>
        <w:t>Usuários Externos convidados para coleções de sites por meio do recurso Share-by-Mail não precisam de SLs de Usuário com o Quiosque do SharePoint Online, Planos 1 e 2. Até, no máximo, 500 usuários externos por locatário, convidados para coleções de pacotes por meio do recurso Share-by-Mail, não precisam de SLs de Usuário para esse fim, com o Office 365 Small Business e o Office 365 Small Business Premium.</w:t>
      </w:r>
    </w:p>
    <w:p w:rsidR="00974EAE" w:rsidRPr="00B810D0" w:rsidRDefault="00974EAE" w:rsidP="006523C8">
      <w:pPr>
        <w:pStyle w:val="ProductList-Body"/>
        <w:tabs>
          <w:tab w:val="clear" w:pos="158"/>
          <w:tab w:val="left" w:pos="180"/>
        </w:tabs>
      </w:pPr>
    </w:p>
    <w:p w:rsidR="00974EAE" w:rsidRPr="00B810D0" w:rsidRDefault="001A19E0" w:rsidP="006523C8">
      <w:pPr>
        <w:pStyle w:val="ProductList-Body"/>
        <w:tabs>
          <w:tab w:val="clear" w:pos="158"/>
          <w:tab w:val="left" w:pos="180"/>
        </w:tabs>
      </w:pPr>
      <w:r>
        <w:rPr>
          <w:b/>
          <w:color w:val="00188F"/>
        </w:rPr>
        <w:t>SLs Complementares de Armazenamento</w:t>
      </w:r>
    </w:p>
    <w:p w:rsidR="001A19E0" w:rsidRPr="00B810D0"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p w:rsidR="008E1EAF" w:rsidRPr="00B810D0" w:rsidRDefault="00EA64EF" w:rsidP="008E1EAF">
      <w:pPr>
        <w:pStyle w:val="ProductList-Body"/>
        <w:shd w:val="clear" w:color="auto" w:fill="A6A6A6" w:themeFill="background1" w:themeFillShade="A6"/>
        <w:spacing w:before="120" w:after="240"/>
        <w:jc w:val="right"/>
      </w:pPr>
      <w:hyperlink w:anchor="TableofContents" w:history="1">
        <w:r w:rsidR="00AA6E26">
          <w:rPr>
            <w:rStyle w:val="Hyperlink"/>
            <w:sz w:val="16"/>
            <w:szCs w:val="16"/>
          </w:rPr>
          <w:t>Sumário</w:t>
        </w:r>
      </w:hyperlink>
      <w:r w:rsidR="00AA6E26">
        <w:rPr>
          <w:sz w:val="16"/>
          <w:szCs w:val="16"/>
        </w:rPr>
        <w:t>/</w:t>
      </w:r>
      <w:hyperlink w:anchor="GeneralTerms" w:history="1">
        <w:r w:rsidR="00AA6E26">
          <w:rPr>
            <w:rStyle w:val="Hyperlink"/>
            <w:sz w:val="16"/>
            <w:szCs w:val="16"/>
          </w:rPr>
          <w:t>Termos Gerais</w:t>
        </w:r>
      </w:hyperlink>
      <w:r w:rsidR="00600D17">
        <w:t xml:space="preserve"> </w:t>
      </w:r>
    </w:p>
    <w:p w:rsidR="003D22CB" w:rsidRPr="00B810D0" w:rsidRDefault="008E1EAF" w:rsidP="00233C87">
      <w:pPr>
        <w:pStyle w:val="ProductList-Offering1Heading"/>
        <w:outlineLvl w:val="1"/>
      </w:pPr>
      <w:bookmarkStart w:id="61" w:name="_Toc391645818"/>
      <w:r>
        <w:t>Windows Intune</w:t>
      </w:r>
      <w:bookmarkEnd w:id="61"/>
    </w:p>
    <w:p w:rsidR="00E275D6" w:rsidRDefault="00E275D6" w:rsidP="008E1EAF">
      <w:pPr>
        <w:pStyle w:val="ProductList-Offering1"/>
        <w:sectPr w:rsidR="00E275D6" w:rsidSect="00E275D6">
          <w:type w:val="continuous"/>
          <w:pgSz w:w="12240" w:h="15840"/>
          <w:pgMar w:top="1440" w:right="720" w:bottom="1440" w:left="720" w:header="720" w:footer="720" w:gutter="0"/>
          <w:cols w:space="720"/>
          <w:titlePg/>
          <w:docGrid w:linePitch="360"/>
        </w:sectPr>
      </w:pPr>
    </w:p>
    <w:p w:rsidR="008E1EAF" w:rsidRPr="00B810D0" w:rsidRDefault="008E1EAF" w:rsidP="00EF1E73">
      <w:pPr>
        <w:pStyle w:val="ProductList-Body"/>
      </w:pPr>
      <w:r>
        <w:rPr>
          <w:rFonts w:asciiTheme="majorHAnsi" w:hAnsiTheme="majorHAnsi"/>
          <w:sz w:val="16"/>
          <w:szCs w:val="16"/>
        </w:rPr>
        <w:t>Windows Intune (por usuário)</w:t>
      </w:r>
    </w:p>
    <w:p w:rsidR="008E1EAF" w:rsidRPr="00B810D0" w:rsidRDefault="008E1EAF" w:rsidP="00EF1E73">
      <w:pPr>
        <w:pStyle w:val="ProductList-Body"/>
      </w:pPr>
      <w:r>
        <w:rPr>
          <w:rFonts w:asciiTheme="majorHAnsi" w:hAnsiTheme="majorHAnsi"/>
          <w:sz w:val="16"/>
          <w:szCs w:val="16"/>
        </w:rPr>
        <w:t>Windows Intune com o Sistema Operacional Windows Desktop (por usuário)</w:t>
      </w:r>
    </w:p>
    <w:p w:rsidR="00E275D6" w:rsidRPr="002B2553" w:rsidRDefault="00E275D6" w:rsidP="00EF1E73">
      <w:pPr>
        <w:pStyle w:val="ProductList-Body"/>
        <w:rPr>
          <w:rFonts w:asciiTheme="majorHAnsi" w:hAnsiTheme="majorHAnsi"/>
          <w:sz w:val="16"/>
          <w:szCs w:val="16"/>
        </w:rPr>
      </w:pPr>
    </w:p>
    <w:p w:rsidR="008E1EAF" w:rsidRPr="00B810D0" w:rsidRDefault="008E1EAF" w:rsidP="00EF1E73">
      <w:pPr>
        <w:pStyle w:val="ProductList-Body"/>
      </w:pPr>
      <w:r>
        <w:rPr>
          <w:rFonts w:asciiTheme="majorHAnsi" w:hAnsiTheme="majorHAnsi"/>
          <w:sz w:val="16"/>
          <w:szCs w:val="16"/>
        </w:rPr>
        <w:t>Complemento do Windows Intune para System Center Configuration</w:t>
      </w:r>
    </w:p>
    <w:p w:rsidR="00E275D6" w:rsidRPr="00EF1E73" w:rsidRDefault="008E1EAF" w:rsidP="00EF1E73">
      <w:pPr>
        <w:pStyle w:val="ProductList-Body"/>
        <w:rPr>
          <w:rFonts w:asciiTheme="majorHAnsi" w:hAnsiTheme="majorHAnsi"/>
          <w:sz w:val="16"/>
          <w:szCs w:val="16"/>
        </w:rPr>
        <w:sectPr w:rsidR="00E275D6" w:rsidRPr="00EF1E73" w:rsidSect="00E275D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e System Center Endpoint Protection (por usuário)</w:t>
      </w:r>
      <w:r>
        <w:rPr>
          <w:rFonts w:asciiTheme="majorHAnsi" w:hAnsiTheme="majorHAnsi"/>
          <w:sz w:val="16"/>
          <w:szCs w:val="16"/>
        </w:rPr>
        <w:br/>
        <w:t>(“Complemento do Windows Intune”)</w:t>
      </w:r>
    </w:p>
    <w:p w:rsidR="009427A1" w:rsidRPr="004F57D5" w:rsidRDefault="009427A1" w:rsidP="009427A1">
      <w:pPr>
        <w:pStyle w:val="ProductList-Body"/>
        <w:pBdr>
          <w:top w:val="single" w:sz="4" w:space="1" w:color="BFBFBF" w:themeColor="background1" w:themeShade="BF"/>
        </w:pBdr>
        <w:rPr>
          <w:b/>
          <w:color w:val="000000" w:themeColor="text1"/>
          <w:sz w:val="8"/>
          <w:szCs w:val="8"/>
        </w:rPr>
      </w:pPr>
    </w:p>
    <w:p w:rsidR="00581CDB" w:rsidRPr="00B810D0" w:rsidRDefault="00581CDB" w:rsidP="00581CDB">
      <w:pPr>
        <w:pStyle w:val="ProductList-Body"/>
        <w:tabs>
          <w:tab w:val="clear" w:pos="158"/>
          <w:tab w:val="left" w:pos="360"/>
        </w:tabs>
      </w:pPr>
      <w:r>
        <w:rPr>
          <w:b/>
          <w:color w:val="00188F"/>
        </w:rPr>
        <w:t>Notificações</w:t>
      </w:r>
    </w:p>
    <w:p w:rsidR="00581CDB" w:rsidRPr="00B810D0" w:rsidRDefault="00581CDB" w:rsidP="00581CDB">
      <w:pPr>
        <w:pStyle w:val="ProductList-Body"/>
      </w:pPr>
      <w:r>
        <w:t xml:space="preserve">As Notificações sobre o Bing Mapas contidas no </w:t>
      </w:r>
      <w:hyperlink w:anchor="Attachment1" w:history="1">
        <w:r>
          <w:rPr>
            <w:rStyle w:val="Hyperlink"/>
          </w:rPr>
          <w:t>Anexo 1</w:t>
        </w:r>
      </w:hyperlink>
      <w:r>
        <w:t xml:space="preserve"> são aplicáveis.</w:t>
      </w:r>
    </w:p>
    <w:p w:rsidR="00581CDB" w:rsidRPr="00B810D0" w:rsidRDefault="00581CDB" w:rsidP="00581CDB">
      <w:pPr>
        <w:pStyle w:val="ProductList-Body"/>
      </w:pPr>
    </w:p>
    <w:p w:rsidR="008E1EAF" w:rsidRPr="00B810D0" w:rsidRDefault="008E1EAF" w:rsidP="00D7478E">
      <w:pPr>
        <w:pStyle w:val="ProductList-Body"/>
        <w:tabs>
          <w:tab w:val="clear" w:pos="158"/>
          <w:tab w:val="left" w:pos="180"/>
        </w:tabs>
      </w:pPr>
      <w:r>
        <w:rPr>
          <w:b/>
          <w:color w:val="00188F"/>
        </w:rPr>
        <w:t>Gerenciar Dispositivos</w:t>
      </w:r>
    </w:p>
    <w:p w:rsidR="008E1EAF" w:rsidRPr="00B810D0" w:rsidRDefault="008E1EAF" w:rsidP="00D7478E">
      <w:pPr>
        <w:pStyle w:val="ProductList-Body"/>
        <w:tabs>
          <w:tab w:val="clear" w:pos="158"/>
          <w:tab w:val="left" w:pos="180"/>
        </w:tabs>
      </w:pPr>
      <w:r>
        <w:t>Cada usuário ao qual o Cliente ceder uma SL de Usuário poderá acessar e usar o Serviço Online e o software relacionado (inclusive o software System Center) para gerenciar até cinco dispositivos simultaneamente.</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SL Complementar de Armazenamento</w:t>
      </w:r>
    </w:p>
    <w:p w:rsidR="008E1EAF" w:rsidRPr="00B810D0" w:rsidRDefault="008E1EAF" w:rsidP="00D7478E">
      <w:pPr>
        <w:pStyle w:val="ProductList-Body"/>
        <w:tabs>
          <w:tab w:val="clear" w:pos="158"/>
          <w:tab w:val="left" w:pos="180"/>
        </w:tabs>
      </w:pPr>
      <w:r>
        <w:t>Uma SL Complementar de Armazenamento é necessária para cada gigabyte que exceda o armazenamento fornecido com a assinatura básica.</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Componentes do Software Windows</w:t>
      </w:r>
    </w:p>
    <w:p w:rsidR="008E1EAF" w:rsidRPr="00B810D0" w:rsidRDefault="008E1EAF" w:rsidP="00D7478E">
      <w:pPr>
        <w:pStyle w:val="ProductList-Body"/>
        <w:tabs>
          <w:tab w:val="clear" w:pos="158"/>
          <w:tab w:val="left" w:pos="180"/>
        </w:tabs>
      </w:pPr>
      <w:r>
        <w:t xml:space="preserve">O software System Center inclui um ou mais dos seguintes Componentes do Software Windows: Os softwares Microsoft .NET Framework, Microsoft Data Access Components, Powershell e determinadas .dlls relacionadas às tecnologias Microsoft Build, Windows Identity Foundation, Biblioteca do Windows para JAVAScript, Debghelp.dll e Web Deploy. Os termos de licença para o Microsoft Windows contidos no documento Direitos de Uso de Produto disponível no site </w:t>
      </w:r>
      <w:hyperlink r:id="rId36" w:history="1">
        <w:r>
          <w:rPr>
            <w:rStyle w:val="Hyperlink"/>
          </w:rPr>
          <w:t>http://go.microsoft.com/?linkid=9839206</w:t>
        </w:r>
      </w:hyperlink>
      <w:hyperlink w:history="1"/>
      <w:r>
        <w:t xml:space="preserve"> (“Direitos de Uso de Produto”) aplicam-se ao uso que o Cliente fizer desses componentes.</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Benchmark e Tecnologia do SQL Server</w:t>
      </w:r>
    </w:p>
    <w:p w:rsidR="008E1EAF" w:rsidRPr="00B810D0" w:rsidRDefault="00C12361" w:rsidP="00D7478E">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rsidR="008E1EAF" w:rsidRPr="00B810D0" w:rsidRDefault="008E1EAF" w:rsidP="008E1EAF">
      <w:pPr>
        <w:pStyle w:val="ProductList-Body"/>
      </w:pPr>
    </w:p>
    <w:p w:rsidR="008E1EAF" w:rsidRPr="00B810D0" w:rsidRDefault="008E1EAF" w:rsidP="008E1EAF">
      <w:pPr>
        <w:pStyle w:val="ProductList-Body"/>
      </w:pPr>
      <w:r>
        <w:rPr>
          <w:b/>
          <w:color w:val="002060"/>
        </w:rPr>
        <w:t xml:space="preserve">Os termos a seguir aplicam-se apenas ao Windows Intune com o Serviço de Sistema Operacional Windows Desktop: </w:t>
      </w:r>
    </w:p>
    <w:p w:rsidR="00C12361" w:rsidRPr="00B810D0" w:rsidRDefault="00C12361" w:rsidP="00C12361">
      <w:pPr>
        <w:pStyle w:val="ProductList-Body"/>
        <w:tabs>
          <w:tab w:val="clear" w:pos="158"/>
          <w:tab w:val="left" w:pos="360"/>
        </w:tabs>
        <w:ind w:left="180"/>
      </w:pPr>
      <w:r>
        <w:rPr>
          <w:b/>
          <w:color w:val="0072C6"/>
        </w:rPr>
        <w:t>Notificações</w:t>
      </w:r>
    </w:p>
    <w:p w:rsidR="00C12361" w:rsidRPr="00B810D0" w:rsidRDefault="00C12361" w:rsidP="00C12361">
      <w:pPr>
        <w:pStyle w:val="ProductList-Body"/>
        <w:ind w:left="180"/>
      </w:pPr>
      <w:r>
        <w:t>A Notificação sobre o Padrão Visual H.264/AVC, os Padrões de Vídeo VC-1 e MPEG-2, o Padrão Visual MPEG-4 Parte 2 e o Padrão de Vídeo MPEG-2 contida no Apêndice 1 aplica-se ao Windows Intune com o Sistema Operacional Windows Desktop.</w:t>
      </w:r>
    </w:p>
    <w:p w:rsidR="00C12361" w:rsidRPr="00B810D0" w:rsidRDefault="00C12361" w:rsidP="00C12361">
      <w:pPr>
        <w:pStyle w:val="ProductList-Body"/>
      </w:pPr>
    </w:p>
    <w:p w:rsidR="00A62183" w:rsidRPr="00B810D0" w:rsidRDefault="008E1EAF" w:rsidP="00A62183">
      <w:pPr>
        <w:pStyle w:val="ProductList-Body"/>
        <w:ind w:left="180"/>
      </w:pPr>
      <w:r>
        <w:rPr>
          <w:b/>
          <w:color w:val="0072C6"/>
        </w:rPr>
        <w:t>Acesso a um Serviço Online</w:t>
      </w:r>
    </w:p>
    <w:p w:rsidR="008E1EAF" w:rsidRPr="00B810D0" w:rsidRDefault="008E1EAF" w:rsidP="00A62183">
      <w:pPr>
        <w:pStyle w:val="ProductList-Body"/>
        <w:ind w:left="180"/>
      </w:pPr>
      <w:r>
        <w:t xml:space="preserve">Todos os usuários aos quais o Cliente ceder uma SL de Usuário do Windows Intune com o Sistema Operacional Windows Desktop poderão acessar e usar o Serviço Online e outro software relacionado (inclusive o software System Center) para gerenciar o seu Dispositivo Windows e até quatro dispositivos adicionais. </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Cedendo a Licença do Sistema Operacional Windows Desktop</w:t>
      </w:r>
    </w:p>
    <w:p w:rsidR="008E1EAF" w:rsidRPr="00B810D0" w:rsidRDefault="00C12361" w:rsidP="00A62183">
      <w:pPr>
        <w:pStyle w:val="ProductList-Body"/>
        <w:ind w:left="180"/>
      </w:pPr>
      <w:r>
        <w:t xml:space="preserve">Cada usuário que receber uma SL de Usuário (o Usuário Principal) poderá usar o software Windows (conforme descrito na seção “Sistema Operacional Windows Desktop” a seguir) em um único dispositivo, que deverá ter, cedida e instalada, uma licença de sistema operacional qualificada. Esse dispositivo é o Dispositivo Windows do Usuário Principal para as finalidades destes termos de licença e o Microsoft Desktop Optimization Pack (MDOP) se refere aos termos de licença dos Direitos de Uso de Produto. Os Direitos de Uso de Produto estão localizados no site </w:t>
      </w:r>
      <w:hyperlink r:id="rId37" w:history="1">
        <w:r>
          <w:rPr>
            <w:rStyle w:val="Hyperlink"/>
          </w:rPr>
          <w:t>http://go.microsoft.com/?linkid=9839206</w:t>
        </w:r>
      </w:hyperlink>
      <w:r>
        <w:t>.</w:t>
      </w:r>
    </w:p>
    <w:p w:rsidR="00A62183" w:rsidRPr="00B810D0" w:rsidRDefault="00A62183" w:rsidP="00A62183">
      <w:pPr>
        <w:pStyle w:val="ProductList-Body"/>
        <w:ind w:left="180"/>
      </w:pPr>
    </w:p>
    <w:p w:rsidR="008E1EAF" w:rsidRPr="00B810D0" w:rsidRDefault="008E1EAF" w:rsidP="00A62183">
      <w:pPr>
        <w:pStyle w:val="ProductList-Body"/>
        <w:ind w:left="180"/>
      </w:pPr>
      <w:r>
        <w:t xml:space="preserve">As licenças de sistema operacional qualificado (32 e 64 bits) incluem os seguintes produtos: </w:t>
      </w:r>
    </w:p>
    <w:p w:rsidR="008E1EAF" w:rsidRPr="00B810D0" w:rsidRDefault="008E1EAF" w:rsidP="00D12FE5">
      <w:pPr>
        <w:pStyle w:val="ProductList-Body"/>
        <w:numPr>
          <w:ilvl w:val="0"/>
          <w:numId w:val="18"/>
        </w:numPr>
        <w:ind w:hanging="270"/>
      </w:pPr>
      <w:r>
        <w:t>Windows 8 e 8.1 Enterprise ou Pro, (sem disco, edições N, K e KN)</w:t>
      </w:r>
    </w:p>
    <w:p w:rsidR="008E1EAF" w:rsidRPr="00B810D0" w:rsidRDefault="008E1EAF" w:rsidP="00D12FE5">
      <w:pPr>
        <w:pStyle w:val="ProductList-Body"/>
        <w:numPr>
          <w:ilvl w:val="0"/>
          <w:numId w:val="18"/>
        </w:numPr>
        <w:spacing w:before="40"/>
        <w:ind w:hanging="270"/>
      </w:pPr>
      <w:r>
        <w:t xml:space="preserve">Windows 7 Enterprise ou Professional (sem disco) (incluindo as edições N, K e KN)\ ou Ultimate </w:t>
      </w:r>
    </w:p>
    <w:p w:rsidR="008E1EAF" w:rsidRPr="00B810D0" w:rsidRDefault="008E1EAF" w:rsidP="00D12FE5">
      <w:pPr>
        <w:pStyle w:val="ProductList-Body"/>
        <w:numPr>
          <w:ilvl w:val="0"/>
          <w:numId w:val="18"/>
        </w:numPr>
        <w:spacing w:before="40"/>
        <w:ind w:hanging="270"/>
      </w:pPr>
      <w:r>
        <w:t xml:space="preserve">Windows Vista Enterprise (edições N, K, KN), Business (edições N, K, KN, Blade) ou Ultimate </w:t>
      </w:r>
    </w:p>
    <w:p w:rsidR="008E1EAF" w:rsidRPr="00B810D0" w:rsidRDefault="008E1EAF" w:rsidP="00D12FE5">
      <w:pPr>
        <w:pStyle w:val="ProductList-Body"/>
        <w:numPr>
          <w:ilvl w:val="0"/>
          <w:numId w:val="18"/>
        </w:numPr>
        <w:spacing w:before="40"/>
        <w:ind w:hanging="270"/>
      </w:pPr>
      <w:r>
        <w:t xml:space="preserve">Windows XP Professional ou Tablet (incluindo as edições N, K, KN e Blade), Windows XP Pro N ou Windows XP Pro Blade PC </w:t>
      </w:r>
    </w:p>
    <w:p w:rsidR="008E1EAF" w:rsidRPr="00B810D0" w:rsidRDefault="008E1EAF" w:rsidP="00D12FE5">
      <w:pPr>
        <w:pStyle w:val="ProductList-Body"/>
        <w:numPr>
          <w:ilvl w:val="0"/>
          <w:numId w:val="18"/>
        </w:numPr>
        <w:spacing w:before="40"/>
        <w:ind w:hanging="270"/>
      </w:pPr>
      <w:r>
        <w:t xml:space="preserve">Windows 2000 Professional </w:t>
      </w:r>
    </w:p>
    <w:p w:rsidR="008E1EAF" w:rsidRPr="00B810D0" w:rsidRDefault="008E1EAF" w:rsidP="00D12FE5">
      <w:pPr>
        <w:pStyle w:val="ProductList-Body"/>
        <w:numPr>
          <w:ilvl w:val="0"/>
          <w:numId w:val="18"/>
        </w:numPr>
        <w:spacing w:before="40"/>
        <w:ind w:hanging="270"/>
      </w:pPr>
      <w:r>
        <w:t>Windows NT Workstation 4.0</w:t>
      </w:r>
    </w:p>
    <w:p w:rsidR="008E1EAF" w:rsidRPr="00B810D0" w:rsidRDefault="008E1EAF" w:rsidP="00D12FE5">
      <w:pPr>
        <w:pStyle w:val="ProductList-Body"/>
        <w:numPr>
          <w:ilvl w:val="0"/>
          <w:numId w:val="18"/>
        </w:numPr>
        <w:spacing w:before="40"/>
        <w:ind w:hanging="270"/>
      </w:pPr>
      <w:r>
        <w:t>Windows 98 (incluindo 2ª Edição)</w:t>
      </w:r>
    </w:p>
    <w:p w:rsidR="008E1EAF" w:rsidRPr="00B810D0" w:rsidRDefault="008E1EAF" w:rsidP="00D12FE5">
      <w:pPr>
        <w:pStyle w:val="ProductList-Body"/>
        <w:numPr>
          <w:ilvl w:val="0"/>
          <w:numId w:val="18"/>
        </w:numPr>
        <w:spacing w:before="40"/>
        <w:ind w:hanging="270"/>
      </w:pPr>
      <w:r>
        <w:t xml:space="preserve">Apple Macintosh </w:t>
      </w:r>
    </w:p>
    <w:p w:rsidR="00A62183" w:rsidRPr="00B810D0" w:rsidRDefault="00A62183" w:rsidP="008E1EAF">
      <w:pPr>
        <w:pStyle w:val="ProductList-Body"/>
      </w:pPr>
    </w:p>
    <w:p w:rsidR="00A62183" w:rsidRPr="00B810D0" w:rsidRDefault="008E1EAF" w:rsidP="00A62183">
      <w:pPr>
        <w:pStyle w:val="ProductList-Body"/>
        <w:ind w:left="180"/>
      </w:pPr>
      <w:r>
        <w:rPr>
          <w:b/>
          <w:color w:val="0072C6"/>
        </w:rPr>
        <w:t>Sistema Operacional Windows Desktop</w:t>
      </w:r>
    </w:p>
    <w:p w:rsidR="008E1EAF" w:rsidRPr="00B810D0" w:rsidRDefault="008E1EAF" w:rsidP="00A62183">
      <w:pPr>
        <w:pStyle w:val="ProductList-Body"/>
        <w:ind w:left="180"/>
      </w:pPr>
      <w:r>
        <w:t xml:space="preserve">Os Direitos de Uso de Produto para o Sistema Operacional Windows Enterprise aplicam-se ao software do sistema operacional Windows Desktop incluído na SL de Usuário, salvo o disposto nesta seção. Software, conforme usado aqui, se refere ao Windows Enterprise. </w:t>
      </w:r>
    </w:p>
    <w:p w:rsidR="008E1EAF" w:rsidRPr="00B810D0" w:rsidRDefault="008E1EAF" w:rsidP="00866323">
      <w:pPr>
        <w:pStyle w:val="ProductList-Body"/>
        <w:numPr>
          <w:ilvl w:val="0"/>
          <w:numId w:val="26"/>
        </w:numPr>
      </w:pPr>
      <w:r>
        <w:t>O Cliente poderá instalar uma cópia do Windows 8.1 Enterprise, da 8.1 Pro ou de qualquer versão anterior do software no Dispositivo Windows em até dois processadores. O Usuário Principal poderá usar o software para fins relacionados ao trabalho de forma local ou</w:t>
      </w:r>
      <w:r w:rsidR="002B2553">
        <w:t> </w:t>
      </w:r>
      <w:r>
        <w:t xml:space="preserve">remota. </w:t>
      </w:r>
    </w:p>
    <w:p w:rsidR="008E1EAF" w:rsidRPr="00B810D0" w:rsidRDefault="004C4ED8" w:rsidP="00866323">
      <w:pPr>
        <w:pStyle w:val="ProductList-Body"/>
        <w:numPr>
          <w:ilvl w:val="0"/>
          <w:numId w:val="26"/>
        </w:numPr>
        <w:spacing w:before="40"/>
      </w:pPr>
      <w:r>
        <w:rPr>
          <w:b/>
        </w:rPr>
        <w:t>Direitos de Virtualização.</w:t>
      </w:r>
      <w:r>
        <w:t xml:space="preserve"> O Usuário Principal poderá executar até quatro Instâncias em OSEs virtuais e uma Instância no OSE Físico localmente no Dispositivo Windows. Se forem usadas todas as Instâncias que podem ser executadas localmente em OSEs, o Cliente poderá usar a Instância no OSE Físico somente para hospedar e gerenciar os OSEs virtuais. </w:t>
      </w:r>
    </w:p>
    <w:p w:rsidR="008E1EAF" w:rsidRPr="00B810D0" w:rsidRDefault="008E1EAF" w:rsidP="00866323">
      <w:pPr>
        <w:pStyle w:val="ProductList-Body"/>
        <w:numPr>
          <w:ilvl w:val="0"/>
          <w:numId w:val="26"/>
        </w:numPr>
        <w:spacing w:before="40"/>
      </w:pPr>
      <w:r>
        <w:t xml:space="preserve">Ao usar o Dispositivo Windows, o Usuário Principal poderá acessar remotamente até quatro Instâncias do software em execução em OSEs virtuais ou uma instância do software em execução em um OSE físico em um dispositivo no datacenter do Cliente. </w:t>
      </w:r>
    </w:p>
    <w:p w:rsidR="008E1EAF" w:rsidRPr="00B810D0" w:rsidRDefault="008E1EAF" w:rsidP="00866323">
      <w:pPr>
        <w:pStyle w:val="ProductList-Body"/>
        <w:numPr>
          <w:ilvl w:val="0"/>
          <w:numId w:val="26"/>
        </w:numPr>
        <w:spacing w:before="40"/>
      </w:pPr>
      <w:r>
        <w:t xml:space="preserve">Como alternativa à execução local do software em OSEs virtuais ou remota no datacenter do Cliente de acordo com as subseções 2 e 3 acima, o Usuário Principal poderá executar duas Instâncias do software no OSE Físico. </w:t>
      </w:r>
    </w:p>
    <w:p w:rsidR="008E1EAF" w:rsidRPr="00B810D0" w:rsidRDefault="004C4ED8" w:rsidP="00866323">
      <w:pPr>
        <w:pStyle w:val="ProductList-Body"/>
        <w:numPr>
          <w:ilvl w:val="0"/>
          <w:numId w:val="26"/>
        </w:numPr>
        <w:spacing w:before="40"/>
      </w:pPr>
      <w:r>
        <w:rPr>
          <w:b/>
        </w:rPr>
        <w:t>Direitos de Uso de Roaming.</w:t>
      </w:r>
      <w:r>
        <w:t xml:space="preserve"> O Usuário Principal poderá acessar remotamente as Instâncias que podem ser executadas em servidores no datacenter do Cliente a partir de um Dispositivo de Terceiro Qualificado de qualquer lugar fora das instalações do Cliente ou de suas Afiliadas, bem como executar uma Instância do software em um OSE virtual em um Dispositivo de Terceiro Qualificado enquanto estiver fora das instalações do Cliente ou de suas Afiliadas.</w:t>
      </w:r>
    </w:p>
    <w:p w:rsidR="008E1EAF" w:rsidRPr="00B810D0" w:rsidRDefault="004C4ED8" w:rsidP="00866323">
      <w:pPr>
        <w:pStyle w:val="ProductList-Body"/>
        <w:numPr>
          <w:ilvl w:val="0"/>
          <w:numId w:val="26"/>
        </w:numPr>
        <w:spacing w:before="40"/>
      </w:pPr>
      <w:r>
        <w:rPr>
          <w:b/>
        </w:rPr>
        <w:t>Direitos do Windows to Go.</w:t>
      </w:r>
      <w:r>
        <w:t xml:space="preserve"> O Cliente poderá criar e armazenar uma Instância do software em até duas unidades USB para que o</w:t>
      </w:r>
      <w:r w:rsidR="002B2553">
        <w:t> </w:t>
      </w:r>
      <w:r>
        <w:t>Usuário</w:t>
      </w:r>
      <w:r w:rsidR="002B2553">
        <w:t> </w:t>
      </w:r>
      <w:r>
        <w:t>Principal as execute em qualquer Dispositivo Windows ou em um Dispositivo de Terceiro Qualificado de qualquer local fora</w:t>
      </w:r>
      <w:r w:rsidR="002B2553">
        <w:t> </w:t>
      </w:r>
      <w:r>
        <w:t>das</w:t>
      </w:r>
      <w:r w:rsidR="002B2553">
        <w:t> </w:t>
      </w:r>
      <w:r>
        <w:t>instalações do Cliente ou de suas Afiliadas.</w:t>
      </w:r>
    </w:p>
    <w:p w:rsidR="008E1EAF" w:rsidRPr="00B810D0" w:rsidRDefault="008E1EAF" w:rsidP="00866323">
      <w:pPr>
        <w:pStyle w:val="ProductList-Body"/>
        <w:numPr>
          <w:ilvl w:val="0"/>
          <w:numId w:val="26"/>
        </w:numPr>
        <w:spacing w:before="40"/>
      </w:pPr>
      <w:r>
        <w:t>O Usuário Principal poderá acessar remotamente qualquer Instância do software com permissão para ser executada em servidores no</w:t>
      </w:r>
      <w:r w:rsidR="002B2553">
        <w:t> </w:t>
      </w:r>
      <w:r>
        <w:t>datacenter do Cliente a partir de um Dispositivo Complementar Windows RT, em que “Dispositivo Complementar Window RT” significa qualquer dispositivo adicional usado pelo Usuário Principal e devidamente licenciado pelo Cliente (não por um terceiro) para</w:t>
      </w:r>
      <w:r w:rsidR="002B2553">
        <w:t> </w:t>
      </w:r>
      <w:r>
        <w:t>o</w:t>
      </w:r>
      <w:r w:rsidR="002B2553">
        <w:t> </w:t>
      </w:r>
      <w:r>
        <w:t>Windows</w:t>
      </w:r>
      <w:r w:rsidR="002B2553">
        <w:t> </w:t>
      </w:r>
      <w:r>
        <w:t>RT ou o Windows RT 8.1.</w:t>
      </w:r>
    </w:p>
    <w:p w:rsidR="008E1EAF" w:rsidRPr="00B810D0" w:rsidRDefault="008E1EAF" w:rsidP="00866323">
      <w:pPr>
        <w:pStyle w:val="ProductList-Body"/>
        <w:numPr>
          <w:ilvl w:val="0"/>
          <w:numId w:val="26"/>
        </w:numPr>
        <w:spacing w:before="40"/>
      </w:pPr>
      <w:r>
        <w:t>O Cliente poderá conectar até 20 dispositivos ao Dispositivo Windows para compartilhamento de arquivos, impressão, Serviços de Informações da Internet, serviços de Compartilhamento de Conexão com a Internet ou serviços de telefonia. Um número ilimitado de</w:t>
      </w:r>
      <w:r w:rsidR="002B2553">
        <w:t> </w:t>
      </w:r>
      <w:r>
        <w:t>conexões é permitido para ativação dos Serviços de Gerenciamento de Chaves ou tecnologia similar.</w:t>
      </w:r>
    </w:p>
    <w:p w:rsidR="008E1EAF" w:rsidRPr="00B810D0" w:rsidRDefault="008E1EAF" w:rsidP="00434191">
      <w:pPr>
        <w:pStyle w:val="ProductList-Body"/>
        <w:numPr>
          <w:ilvl w:val="0"/>
          <w:numId w:val="26"/>
        </w:numPr>
        <w:spacing w:before="40"/>
      </w:pPr>
      <w:r>
        <w:t>O Cliente poderá criar qualquer número de Instâncias do software e armazená-las em qualquer um dos servidores do Cliente ou mídia de</w:t>
      </w:r>
      <w:r w:rsidR="002B2553">
        <w:t> </w:t>
      </w:r>
      <w:r>
        <w:t xml:space="preserve">armazenamento exclusivamente para exercer seu direito de executar Instâncias do software de acordo com qualquer uma de suas licenças do Windows Intune com o Sistema Operacional Windows Desktop (por usuário). </w:t>
      </w:r>
    </w:p>
    <w:p w:rsidR="008E1EAF" w:rsidRPr="00B810D0" w:rsidRDefault="00C12361" w:rsidP="00866323">
      <w:pPr>
        <w:pStyle w:val="ProductList-Body"/>
        <w:numPr>
          <w:ilvl w:val="0"/>
          <w:numId w:val="26"/>
        </w:numPr>
        <w:spacing w:before="40"/>
      </w:pPr>
      <w:r>
        <w:t xml:space="preserve">Outros usuários poderão acessar o software exclusivamente para fornecer suporte técnico usando Assistência Remota (ou tecnologia similar) ou administrando o software. </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Transferência do Sistema Operacional Windows Desktop</w:t>
      </w:r>
    </w:p>
    <w:p w:rsidR="008E1EAF" w:rsidRPr="00B810D0" w:rsidRDefault="008E1EAF" w:rsidP="00A62183">
      <w:pPr>
        <w:pStyle w:val="ProductList-Body"/>
        <w:ind w:left="180"/>
      </w:pPr>
      <w:r>
        <w:t>Sujeito à regra geral contra a transferência de licenças por um curto período, o Cliente poderá transferir sua licença a um dispositivo de substituição qualificado. Dispositivo de substituição qualificado é um dispositivo para o qual o Cliente cedeu uma licença e no qual instalou a</w:t>
      </w:r>
      <w:r w:rsidR="002B2553">
        <w:t> </w:t>
      </w:r>
      <w:r>
        <w:t>versão mais recente do sistema operacional Windows Desktop. O Cliente poderá transferir sua licença em uma data anterior caso desative o</w:t>
      </w:r>
      <w:r w:rsidR="002B2553">
        <w:t> </w:t>
      </w:r>
      <w:r>
        <w:t>dispositivo licenciado em decorrência de uma falha permanente de hardware. O Cliente poderá substituir um Dispositivo Windows por outro</w:t>
      </w:r>
      <w:r w:rsidR="002B2553">
        <w:t> </w:t>
      </w:r>
      <w:r>
        <w:t>dispositivo, mas não em um curto prazo (90 dias ou menos) e apenas se esse dispositivo de substituição estiver licenciado para a versão mais recente do sistema operacional Windows. Em geral, as licenças concedidas ou adquiridas em conexão com outras licenças qualificadas (por</w:t>
      </w:r>
      <w:r w:rsidR="002B2553">
        <w:t> </w:t>
      </w:r>
      <w:r>
        <w:t xml:space="preserve">exemplo, MDOP) devem ser transferidas juntamente com a licença qualificada. </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Opção de Compra (</w:t>
      </w:r>
      <w:r w:rsidR="006573C2">
        <w:rPr>
          <w:b/>
          <w:color w:val="0072C6"/>
        </w:rPr>
        <w:t>“</w:t>
      </w:r>
      <w:r>
        <w:rPr>
          <w:b/>
          <w:color w:val="0072C6"/>
        </w:rPr>
        <w:t>Buy-out</w:t>
      </w:r>
      <w:r w:rsidR="006573C2">
        <w:rPr>
          <w:b/>
          <w:color w:val="0072C6"/>
        </w:rPr>
        <w:t>”</w:t>
      </w:r>
      <w:r>
        <w:rPr>
          <w:b/>
          <w:color w:val="0072C6"/>
        </w:rPr>
        <w:t>) do Sistema Operacional Windows</w:t>
      </w:r>
    </w:p>
    <w:p w:rsidR="008E1EAF" w:rsidRPr="00B810D0" w:rsidRDefault="008E1EAF" w:rsidP="00A62183">
      <w:pPr>
        <w:pStyle w:val="ProductList-Body"/>
        <w:ind w:left="180"/>
      </w:pPr>
      <w:r>
        <w:t>Uma opção de compra (</w:t>
      </w:r>
      <w:r w:rsidR="006573C2">
        <w:t>“</w:t>
      </w:r>
      <w:r>
        <w:t>buy-out</w:t>
      </w:r>
      <w:r w:rsidR="006573C2">
        <w:t>”</w:t>
      </w:r>
      <w:r>
        <w:t>) está disponível para obtenção de Licenças perpétuas da versão mais recente do Windows Enterprise disponibilizada para o Cliente na sua assinatura do Windows Intune com o Sistema Operacional Windows Desktop até a data em que o</w:t>
      </w:r>
      <w:r w:rsidR="002B2553">
        <w:t> </w:t>
      </w:r>
      <w:r>
        <w:t>Cliente</w:t>
      </w:r>
      <w:r w:rsidR="002B2553">
        <w:t> </w:t>
      </w:r>
      <w:r>
        <w:t>exercer a opção de compra (</w:t>
      </w:r>
      <w:r w:rsidR="006573C2">
        <w:t>“</w:t>
      </w:r>
      <w:r>
        <w:t>buy-out</w:t>
      </w:r>
      <w:r w:rsidR="006573C2">
        <w:t>”</w:t>
      </w:r>
      <w:r>
        <w:t>) (“Software Windows Enterprise”). É possível enviar um pedido de compra (</w:t>
      </w:r>
      <w:r w:rsidR="006573C2">
        <w:t>“</w:t>
      </w:r>
      <w:r>
        <w:t>buy-out</w:t>
      </w:r>
      <w:r w:rsidR="006573C2">
        <w:t>”</w:t>
      </w:r>
      <w:r>
        <w:t>) durante</w:t>
      </w:r>
      <w:r w:rsidR="002B2553">
        <w:t> </w:t>
      </w:r>
      <w:r>
        <w:t>ou</w:t>
      </w:r>
      <w:r w:rsidR="002B2553">
        <w:t> </w:t>
      </w:r>
      <w:r>
        <w:t>a qualquer momento após o 12º mês da assinatura ativa do Windows Intune com o Sistema Operacional Windows Desktop ou até</w:t>
      </w:r>
      <w:r w:rsidR="002B2553">
        <w:t> </w:t>
      </w:r>
      <w:r>
        <w:t>90</w:t>
      </w:r>
      <w:r w:rsidR="002B2553">
        <w:t> </w:t>
      </w:r>
      <w:r>
        <w:t>dias</w:t>
      </w:r>
      <w:r w:rsidR="002B2553">
        <w:t> </w:t>
      </w:r>
      <w:r>
        <w:t>após o</w:t>
      </w:r>
      <w:r w:rsidR="002B2553">
        <w:t> </w:t>
      </w:r>
      <w:r>
        <w:t>vencimento ou o cancelamento da assinatura do Cliente. Será necessário que o Cliente pague todos os valores pendentes de</w:t>
      </w:r>
      <w:r w:rsidR="002B2553">
        <w:t> </w:t>
      </w:r>
      <w:r>
        <w:t>assinatura e/ou</w:t>
      </w:r>
      <w:r w:rsidR="002B2553">
        <w:t> </w:t>
      </w:r>
      <w:r>
        <w:t>cancelamento no momento ou antes de exercer a opção de compra (</w:t>
      </w:r>
      <w:r w:rsidR="006573C2">
        <w:t>“</w:t>
      </w:r>
      <w:r>
        <w:t>buy-out</w:t>
      </w:r>
      <w:r w:rsidR="006573C2">
        <w:t>”</w:t>
      </w:r>
      <w:r>
        <w:t>). O pedido de compra (“buy-out”) do Software</w:t>
      </w:r>
      <w:r w:rsidR="002B2553">
        <w:t> </w:t>
      </w:r>
      <w:r>
        <w:t>Windows</w:t>
      </w:r>
      <w:r w:rsidR="002B2553">
        <w:t> </w:t>
      </w:r>
      <w:r>
        <w:t>Enterprise do Cliente poderá incluir um número de Licenças que não exceda a quantidade de SLs ativas que o Cliente tiver disponível</w:t>
      </w:r>
      <w:r w:rsidR="002B2553">
        <w:t> </w:t>
      </w:r>
      <w:r>
        <w:t>no momento (ou que tinha até 90 dias antes da opção de compra (“buy-out”)) para o Windows Intune com o Sistema Operacional Windows Desktop. Para obter informações sobre preços, condições de pagamento e saber como exercer a opção de compra (</w:t>
      </w:r>
      <w:r w:rsidR="006573C2">
        <w:t>“</w:t>
      </w:r>
      <w:r>
        <w:t>buy-out</w:t>
      </w:r>
      <w:r w:rsidR="006573C2">
        <w:t>”</w:t>
      </w:r>
      <w:r>
        <w:t>), o</w:t>
      </w:r>
      <w:r w:rsidR="002B2553">
        <w:t> </w:t>
      </w:r>
      <w:r>
        <w:t xml:space="preserve">Cliente deverá entrar em contato com o centro de suporte local: </w:t>
      </w:r>
      <w:hyperlink r:id="rId38" w:history="1">
        <w:r>
          <w:rPr>
            <w:rStyle w:val="Hyperlink"/>
          </w:rPr>
          <w:t>www.microsoft.com/online/help/en-us/helphowto/0d8eb4c2-77c5-4dd8-b66c-9f1de7451e24.htm</w:t>
        </w:r>
      </w:hyperlink>
      <w:r>
        <w:t>.</w:t>
      </w:r>
    </w:p>
    <w:p w:rsidR="00A62183" w:rsidRPr="00B810D0" w:rsidRDefault="00A62183" w:rsidP="00A62183">
      <w:pPr>
        <w:pStyle w:val="ProductList-Body"/>
        <w:ind w:left="180"/>
      </w:pPr>
    </w:p>
    <w:p w:rsidR="00A62183" w:rsidRPr="00B810D0" w:rsidRDefault="00A62183" w:rsidP="00A62183">
      <w:pPr>
        <w:pStyle w:val="ProductList-Body"/>
        <w:ind w:left="450"/>
      </w:pPr>
      <w:r>
        <w:rPr>
          <w:b/>
          <w:color w:val="4668C5"/>
        </w:rPr>
        <w:t>Licenças Perpétuas</w:t>
      </w:r>
    </w:p>
    <w:p w:rsidR="008E1EAF" w:rsidRPr="00B810D0" w:rsidRDefault="008E1EAF" w:rsidP="00A62183">
      <w:pPr>
        <w:pStyle w:val="ProductList-Body"/>
        <w:ind w:left="450"/>
      </w:pPr>
      <w:r>
        <w:t>Mediante a aceitação do pedido de compra (</w:t>
      </w:r>
      <w:r w:rsidR="006573C2">
        <w:t>“buy-out”</w:t>
      </w:r>
      <w:r>
        <w:t>) do Cliente e o recebimento do pagamento integral pela Microsoft, o Cliente terá Licenças perpétuas para o Software Windows Enterprise correspondentes ao número de Licenças especificado no pedido de compra (</w:t>
      </w:r>
      <w:r w:rsidR="006573C2">
        <w:t>“</w:t>
      </w:r>
      <w:r>
        <w:t>buy</w:t>
      </w:r>
      <w:r w:rsidR="002B2553">
        <w:t>­</w:t>
      </w:r>
      <w:r>
        <w:t>out</w:t>
      </w:r>
      <w:r w:rsidR="006573C2">
        <w:t>”</w:t>
      </w:r>
      <w:r>
        <w:t>). As Licenças perpétuas recebidas na opção de compra (“buy-out”) permanecem condicionadas aos termos do contrato de licenciamento por volume do Cliente (incluindo estes Termos dos Serviços Online, conforme especificado a seguir, e todas as limitações de licenças) e substituem as Licenças perpétuas subjacentes do Cliente para um sistema operacional Microsoft Desktop qualificado. Os termos que regem o uso contínuo do Software Windows Enterprise por parte do Cliente permanecem válidos após o término ou a rescisão do contrato de licenciamento por volume do Cliente.</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Opção de Compra (“Buy-out”)</w:t>
      </w:r>
    </w:p>
    <w:p w:rsidR="008E1EAF" w:rsidRPr="00B810D0" w:rsidRDefault="008E1EAF" w:rsidP="00A62183">
      <w:pPr>
        <w:pStyle w:val="ProductList-Body"/>
        <w:ind w:left="450"/>
      </w:pPr>
      <w:r>
        <w:t>Não obstante qualquer disposição em contrário no contrato de licenciamento por volume do Cliente, este não poderá transferir para dispositivos de substituição licenças perpétuas do sistema operacional Windows Desktop adquiridas de acordo com a opção de compra (</w:t>
      </w:r>
      <w:r w:rsidR="006573C2">
        <w:t>“</w:t>
      </w:r>
      <w:r>
        <w:t>buy-out</w:t>
      </w:r>
      <w:r w:rsidR="006573C2">
        <w:t>”</w:t>
      </w:r>
      <w:r>
        <w:t>) do Windows Intune com o Sistema Operacional Windows Desktop.</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Cedendo Licenças</w:t>
      </w:r>
    </w:p>
    <w:p w:rsidR="008E1EAF" w:rsidRPr="00B810D0" w:rsidRDefault="008E1EAF" w:rsidP="00A62183">
      <w:pPr>
        <w:pStyle w:val="ProductList-Body"/>
        <w:ind w:left="450"/>
      </w:pPr>
      <w:r>
        <w:t>O Cliente deverá ceder as licenças perpétuas adquiridas de acordo com a opção de compra (</w:t>
      </w:r>
      <w:r w:rsidR="006573C2">
        <w:t>“</w:t>
      </w:r>
      <w:r>
        <w:t>buy-out</w:t>
      </w:r>
      <w:r w:rsidR="006573C2">
        <w:t>”</w:t>
      </w:r>
      <w:r>
        <w:t>) aos Dispositivos Windows nos quais usou o software de acordo com as suas SLs correspondentes do Windows Intune com o Sistema Operacional Windows Desktop (por usuário).</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Direitos de Uso de Produto</w:t>
      </w:r>
    </w:p>
    <w:p w:rsidR="003D22CB" w:rsidRPr="00B810D0" w:rsidRDefault="008E1EAF" w:rsidP="00A62183">
      <w:pPr>
        <w:pStyle w:val="ProductList-Body"/>
        <w:ind w:left="450"/>
      </w:pPr>
      <w:r>
        <w:t>Os Direitos de Uso de Produto para o Sistema Operacional Windows Enterprise aplicam-se ao uso que o Cliente faz do Software Windows Enterprise de acordo com as Licenças perpétuas adquiridas pela opção de compra (</w:t>
      </w:r>
      <w:r w:rsidR="006573C2">
        <w:t>“</w:t>
      </w:r>
      <w:r>
        <w:t>buy-out</w:t>
      </w:r>
      <w:r w:rsidR="006573C2">
        <w:t>”</w:t>
      </w:r>
      <w:r>
        <w:t xml:space="preserve">). Os Direitos de Uso de Produto estão localizados no site </w:t>
      </w:r>
      <w:hyperlink r:id="rId39" w:history="1">
        <w:r>
          <w:rPr>
            <w:rStyle w:val="Hyperlink"/>
          </w:rPr>
          <w:t>http://go.microsoft.com/?linkid=9839206</w:t>
        </w:r>
      </w:hyperlink>
      <w:r w:rsidRPr="00ED7512">
        <w:rPr>
          <w:rStyle w:val="Hyperlink"/>
          <w:u w:val="none"/>
        </w:rPr>
        <w:t>.</w:t>
      </w:r>
      <w:r>
        <w:t xml:space="preserve"> Os Direitos de Virtualização, os Direitos de Uso de Roaming, os Direitos do Windows to Go e Dispositivos Complementares não são aplicáveis.</w:t>
      </w:r>
    </w:p>
    <w:p w:rsidR="004B3528" w:rsidRPr="00B810D0" w:rsidRDefault="00EA64EF" w:rsidP="004B3528">
      <w:pPr>
        <w:pStyle w:val="ProductList-Body"/>
        <w:shd w:val="clear" w:color="auto" w:fill="A6A6A6" w:themeFill="background1" w:themeFillShade="A6"/>
        <w:spacing w:before="120" w:after="240"/>
        <w:jc w:val="right"/>
      </w:pPr>
      <w:hyperlink w:anchor="TableofContents" w:history="1">
        <w:r w:rsidR="00DF45DE">
          <w:rPr>
            <w:rStyle w:val="Hyperlink"/>
            <w:sz w:val="16"/>
            <w:szCs w:val="16"/>
          </w:rPr>
          <w:t>Sumário</w:t>
        </w:r>
      </w:hyperlink>
      <w:r w:rsidR="00DF45DE">
        <w:rPr>
          <w:sz w:val="16"/>
          <w:szCs w:val="16"/>
        </w:rPr>
        <w:t>/</w:t>
      </w:r>
      <w:hyperlink w:anchor="GeneralTerms" w:history="1">
        <w:r w:rsidR="00DF45DE">
          <w:rPr>
            <w:rStyle w:val="Hyperlink"/>
            <w:sz w:val="16"/>
            <w:szCs w:val="16"/>
          </w:rPr>
          <w:t>Termos Gerais</w:t>
        </w:r>
      </w:hyperlink>
    </w:p>
    <w:p w:rsidR="008E1EAF" w:rsidRPr="00B810D0" w:rsidRDefault="004B3528" w:rsidP="00233C87">
      <w:pPr>
        <w:pStyle w:val="ProductList-OfferingGroupHeading"/>
        <w:outlineLvl w:val="1"/>
      </w:pPr>
      <w:bookmarkStart w:id="62" w:name="_Toc391645819"/>
      <w:r>
        <w:t>Outros Serviços Online</w:t>
      </w:r>
      <w:bookmarkEnd w:id="62"/>
    </w:p>
    <w:p w:rsidR="008E1EAF" w:rsidRPr="00B810D0" w:rsidRDefault="004B3528" w:rsidP="00233C87">
      <w:pPr>
        <w:pStyle w:val="ProductList-Offering2Heading"/>
        <w:outlineLvl w:val="2"/>
      </w:pPr>
      <w:r>
        <w:tab/>
      </w:r>
      <w:bookmarkStart w:id="63" w:name="_Toc391645820"/>
      <w:r>
        <w:t>Bing Maps Enterprise Platform e Bing Maps Mobile Asset Management Platform</w:t>
      </w:r>
      <w:bookmarkEnd w:id="63"/>
    </w:p>
    <w:p w:rsidR="00917344" w:rsidRPr="00B810D0" w:rsidRDefault="00917344" w:rsidP="00917344">
      <w:pPr>
        <w:pStyle w:val="ProductList-Body"/>
      </w:pPr>
      <w:r>
        <w:rPr>
          <w:b/>
          <w:color w:val="00188F"/>
        </w:rPr>
        <w:t>SLs de Serviço</w:t>
      </w:r>
    </w:p>
    <w:p w:rsidR="00917344" w:rsidRPr="00B810D0" w:rsidRDefault="00917344" w:rsidP="00917344">
      <w:pPr>
        <w:pStyle w:val="ProductList-Body"/>
      </w:pPr>
      <w:r>
        <w:t xml:space="preserve">É necessária uma SL de Serviço para fornecer acesso aos serviços. Cada SL de Serviço deve ser comprada com, pelo menos, uma das seguintes SLs Complementares qualificadas: </w:t>
      </w:r>
    </w:p>
    <w:p w:rsidR="00917344" w:rsidRPr="00B810D0" w:rsidRDefault="00917344" w:rsidP="00917344">
      <w:pPr>
        <w:pStyle w:val="ProductList-Body"/>
        <w:numPr>
          <w:ilvl w:val="0"/>
          <w:numId w:val="20"/>
        </w:numPr>
        <w:ind w:left="450" w:hanging="270"/>
      </w:pPr>
      <w:r>
        <w:t>uma SL Complementar de uso do Site, que é necessária para usuários não autenticados acessarem a Plataforma Corporativa do Bing Mapas e</w:t>
      </w:r>
      <w:r w:rsidR="00B14249">
        <w:t> </w:t>
      </w:r>
      <w:r>
        <w:t xml:space="preserve">a Plataforma de Gerenciamento de Ativos Móveis do Bing Mapas por meio dos programas do Cliente, com base no número de transações faturáveis por mês, </w:t>
      </w:r>
    </w:p>
    <w:p w:rsidR="00917344" w:rsidRPr="00B810D0" w:rsidRDefault="00917344" w:rsidP="0088164F">
      <w:pPr>
        <w:pStyle w:val="ProductList-Body"/>
        <w:numPr>
          <w:ilvl w:val="0"/>
          <w:numId w:val="20"/>
        </w:numPr>
        <w:spacing w:before="40"/>
        <w:ind w:left="461" w:hanging="274"/>
      </w:pPr>
      <w:r>
        <w:t>uma SL de uso do site público, disponível para um número especificado de transações faturáveis para uso em um site que esteja disponível ao público sem restrições.</w:t>
      </w:r>
    </w:p>
    <w:p w:rsidR="00917344" w:rsidRPr="00B810D0" w:rsidRDefault="00917344" w:rsidP="0088164F">
      <w:pPr>
        <w:pStyle w:val="ProductList-Body"/>
        <w:numPr>
          <w:ilvl w:val="0"/>
          <w:numId w:val="20"/>
        </w:numPr>
        <w:spacing w:before="40"/>
        <w:ind w:left="461" w:hanging="274"/>
      </w:pPr>
      <w:r>
        <w:t>um Complemento de Uso de Site Interno, disponível para um número especificado de transações faturáveis para uso em um site interno (por</w:t>
      </w:r>
      <w:r w:rsidR="00B14249">
        <w:t> </w:t>
      </w:r>
      <w:r>
        <w:t>exemplo, intranet) em uma rede privada,</w:t>
      </w:r>
    </w:p>
    <w:p w:rsidR="00917344" w:rsidRPr="00B810D0" w:rsidRDefault="00917344" w:rsidP="0088164F">
      <w:pPr>
        <w:pStyle w:val="ProductList-Body"/>
        <w:numPr>
          <w:ilvl w:val="0"/>
          <w:numId w:val="20"/>
        </w:numPr>
        <w:spacing w:before="40"/>
        <w:ind w:left="461" w:hanging="274"/>
      </w:pPr>
      <w:r>
        <w:t>Complemento Ilimitado do Bing Mapas,</w:t>
      </w:r>
    </w:p>
    <w:p w:rsidR="00917344" w:rsidRPr="00B810D0" w:rsidRDefault="00917344" w:rsidP="0088164F">
      <w:pPr>
        <w:pStyle w:val="ProductList-Body"/>
        <w:numPr>
          <w:ilvl w:val="0"/>
          <w:numId w:val="20"/>
        </w:numPr>
        <w:spacing w:before="40"/>
        <w:ind w:left="461" w:hanging="274"/>
      </w:pPr>
      <w:r>
        <w:t>SL de Usuário Conhecido do Bing Mapas ou</w:t>
      </w:r>
    </w:p>
    <w:p w:rsidR="00917344" w:rsidRPr="00B810D0" w:rsidRDefault="00917344" w:rsidP="0088164F">
      <w:pPr>
        <w:pStyle w:val="ProductList-Body"/>
        <w:numPr>
          <w:ilvl w:val="0"/>
          <w:numId w:val="20"/>
        </w:numPr>
        <w:spacing w:before="40"/>
        <w:ind w:left="461" w:hanging="274"/>
      </w:pPr>
      <w:r>
        <w:t>SL de Usuário Conhecido do Bing Mapas Light.</w:t>
      </w:r>
    </w:p>
    <w:p w:rsidR="00917344" w:rsidRPr="00AF1BF3" w:rsidRDefault="00917344" w:rsidP="00917344">
      <w:pPr>
        <w:pStyle w:val="ProductList-Body"/>
        <w:rPr>
          <w:sz w:val="15"/>
          <w:szCs w:val="15"/>
        </w:rPr>
      </w:pPr>
    </w:p>
    <w:p w:rsidR="00917344" w:rsidRPr="00B810D0" w:rsidRDefault="00917344" w:rsidP="00917344">
      <w:pPr>
        <w:pStyle w:val="ProductList-Body"/>
      </w:pPr>
      <w:r>
        <w:rPr>
          <w:b/>
          <w:color w:val="00188F"/>
        </w:rPr>
        <w:t>SLs Complementares da SL de Serviço da Plataforma de Gerenciamento de Ativos Móveis do Bing Mapas Qualificada</w:t>
      </w:r>
    </w:p>
    <w:p w:rsidR="00917344" w:rsidRPr="00B810D0" w:rsidRDefault="00917344" w:rsidP="00917344">
      <w:pPr>
        <w:pStyle w:val="ProductList-Body"/>
      </w:pPr>
      <w:r>
        <w:t>Para a Plataforma de Gerenciamento de Ativos Móveis do Bing Mapas, é necessária uma SL Complementar para cada Ativo rastreado, cuja posição no GPS ou baseada em outro sensor possa ser monitorada, exibida, convertida em geocódigo ou usada para realizar cálculos por meio da Plataforma de Gerenciamento de Ativos Móveis do Bing Mapas. “Ativo” é definido como qualquer veículo, dispositivo ou outro objeto móvel. Essas SLs Complementares se destinam a um número especificado de Ativos rastreados.</w:t>
      </w:r>
    </w:p>
    <w:p w:rsidR="00917344" w:rsidRPr="00AF1BF3" w:rsidRDefault="00917344" w:rsidP="00917344">
      <w:pPr>
        <w:pStyle w:val="ProductList-Body"/>
        <w:rPr>
          <w:sz w:val="15"/>
          <w:szCs w:val="15"/>
        </w:rPr>
      </w:pPr>
    </w:p>
    <w:p w:rsidR="00917344" w:rsidRPr="00B810D0" w:rsidRDefault="00917344" w:rsidP="00917344">
      <w:pPr>
        <w:pStyle w:val="ProductList-Body"/>
      </w:pPr>
      <w:r>
        <w:rPr>
          <w:b/>
          <w:color w:val="00188F"/>
        </w:rPr>
        <w:t>Usuários Autenticados</w:t>
      </w:r>
    </w:p>
    <w:p w:rsidR="00917344" w:rsidRPr="00B810D0" w:rsidRDefault="00917344" w:rsidP="00917344">
      <w:pPr>
        <w:pStyle w:val="ProductList-Body"/>
      </w:pPr>
      <w:r>
        <w:t>Os Usuários que são autenticados pelos programas do Cliente que acessam a Plataforma Corporativa e a Plataforma de Gerenciamento de Ativos Móveis do Bing Mapas devem ter uma SL.</w:t>
      </w:r>
    </w:p>
    <w:p w:rsidR="00917344" w:rsidRPr="00AF1BF3" w:rsidRDefault="00917344" w:rsidP="00917344">
      <w:pPr>
        <w:pStyle w:val="ProductList-Body"/>
        <w:rPr>
          <w:sz w:val="15"/>
          <w:szCs w:val="15"/>
        </w:rPr>
      </w:pPr>
    </w:p>
    <w:p w:rsidR="00917344" w:rsidRPr="00B810D0" w:rsidRDefault="00917344" w:rsidP="00917344">
      <w:pPr>
        <w:pStyle w:val="ProductList-Body"/>
      </w:pPr>
      <w:r>
        <w:rPr>
          <w:b/>
          <w:color w:val="00188F"/>
        </w:rPr>
        <w:t>APIs do Bing Mapas</w:t>
      </w:r>
    </w:p>
    <w:p w:rsidR="00917344" w:rsidRPr="00B810D0" w:rsidRDefault="00917344" w:rsidP="00917344">
      <w:pPr>
        <w:pStyle w:val="ProductList-Body"/>
      </w:pPr>
      <w:r>
        <w:t>O Cliente poderá usar todas as APIs do Bing Mapas de acordo com os Termos de Uso das APIs da Plataforma do Microsoft Bing Mapas e das SDKs</w:t>
      </w:r>
      <w:r w:rsidR="00DA2DE3">
        <w:t> </w:t>
      </w:r>
      <w:r>
        <w:t xml:space="preserve">da Plataforma do Bing Mapas, incluindo todos os seus sucessores, localizados nos sites </w:t>
      </w:r>
      <w:hyperlink r:id="rId40" w:history="1">
        <w:r>
          <w:rPr>
            <w:rStyle w:val="Hyperlink"/>
          </w:rPr>
          <w:t>http://go.microsoft.com/fwlink/p/?LinkID=66121</w:t>
        </w:r>
      </w:hyperlink>
      <w:r>
        <w:t xml:space="preserve"> e</w:t>
      </w:r>
      <w:r w:rsidR="00DA2DE3">
        <w:t> </w:t>
      </w:r>
      <w:hyperlink r:id="rId41" w:history="1">
        <w:r>
          <w:rPr>
            <w:rStyle w:val="Hyperlink"/>
          </w:rPr>
          <w:t>http://go.microsoft.com/fwlink/p/?LinkID=223436</w:t>
        </w:r>
      </w:hyperlink>
      <w:r>
        <w:t>.</w:t>
      </w:r>
    </w:p>
    <w:p w:rsidR="00917344" w:rsidRPr="00AF1BF3" w:rsidRDefault="00917344" w:rsidP="00917344">
      <w:pPr>
        <w:pStyle w:val="ProductList-Body"/>
        <w:rPr>
          <w:sz w:val="15"/>
          <w:szCs w:val="15"/>
        </w:rPr>
      </w:pPr>
    </w:p>
    <w:p w:rsidR="00917344" w:rsidRPr="00B810D0" w:rsidRDefault="00917344" w:rsidP="00917344">
      <w:pPr>
        <w:pStyle w:val="ProductList-Body"/>
      </w:pPr>
      <w:r>
        <w:rPr>
          <w:b/>
          <w:color w:val="00188F"/>
        </w:rPr>
        <w:t>Privacidade do Bing Mapas</w:t>
      </w:r>
    </w:p>
    <w:p w:rsidR="008E1EAF" w:rsidRPr="00B810D0" w:rsidRDefault="00917344" w:rsidP="00917344">
      <w:pPr>
        <w:pStyle w:val="ProductList-Body"/>
      </w:pPr>
      <w:r>
        <w:t xml:space="preserve">Os termos e a Política de Privacidade do Bing nos Termos de Uso das APIs da Plataforma do Microsoft Bing Mapas localizados no site: </w:t>
      </w:r>
      <w:hyperlink r:id="rId42" w:history="1">
        <w:r>
          <w:rPr>
            <w:rStyle w:val="Hyperlink"/>
          </w:rPr>
          <w:t>http://go.microsoft.com/fwlink/?LinkID=248686</w:t>
        </w:r>
      </w:hyperlink>
      <w:r>
        <w:t xml:space="preserve"> aplicam-se ao uso dos Serviços do Bing Mapas pelo Cliente.</w:t>
      </w:r>
    </w:p>
    <w:p w:rsidR="00917344" w:rsidRPr="00B810D0" w:rsidRDefault="00EA64EF" w:rsidP="00917344">
      <w:pPr>
        <w:pStyle w:val="ProductList-Body"/>
        <w:shd w:val="clear" w:color="auto" w:fill="A6A6A6" w:themeFill="background1" w:themeFillShade="A6"/>
        <w:spacing w:before="120" w:after="240"/>
        <w:jc w:val="right"/>
      </w:pPr>
      <w:hyperlink w:anchor="TableofContents" w:history="1">
        <w:r w:rsidR="00B14249">
          <w:rPr>
            <w:rStyle w:val="Hyperlink"/>
            <w:sz w:val="16"/>
            <w:szCs w:val="16"/>
          </w:rPr>
          <w:t>Sumário</w:t>
        </w:r>
      </w:hyperlink>
      <w:r w:rsidR="00B14249">
        <w:rPr>
          <w:sz w:val="16"/>
          <w:szCs w:val="16"/>
        </w:rPr>
        <w:t>/</w:t>
      </w:r>
      <w:hyperlink w:anchor="GeneralTerms" w:history="1">
        <w:r w:rsidR="00B14249">
          <w:rPr>
            <w:rStyle w:val="Hyperlink"/>
            <w:sz w:val="16"/>
            <w:szCs w:val="16"/>
          </w:rPr>
          <w:t>Termos Gerais</w:t>
        </w:r>
      </w:hyperlink>
    </w:p>
    <w:p w:rsidR="008E1EAF" w:rsidRPr="00B810D0" w:rsidRDefault="00917344" w:rsidP="00233C87">
      <w:pPr>
        <w:pStyle w:val="ProductList-Offering2Heading"/>
        <w:outlineLvl w:val="2"/>
      </w:pPr>
      <w:r>
        <w:tab/>
      </w:r>
      <w:bookmarkStart w:id="64" w:name="_Toc391645821"/>
      <w:r>
        <w:t>Microsoft Azure Directory Premium</w:t>
      </w:r>
      <w:bookmarkEnd w:id="64"/>
    </w:p>
    <w:p w:rsidR="008E1EAF" w:rsidRPr="00B810D0" w:rsidRDefault="00917344" w:rsidP="00A914BF">
      <w:pPr>
        <w:pStyle w:val="ProductList-Body"/>
      </w:pPr>
      <w:r>
        <w:t>O Cliente não poderá copiar nem distribuir nenhum conjunto de dados, ou parte dele, incluído no software Forefront Identity Manager integrado a uma SL de Usuário do Microsoft Azure Active Directory.</w:t>
      </w:r>
    </w:p>
    <w:p w:rsidR="00917344" w:rsidRPr="00B810D0" w:rsidRDefault="00EA64EF" w:rsidP="00917344">
      <w:pPr>
        <w:pStyle w:val="ProductList-Body"/>
        <w:shd w:val="clear" w:color="auto" w:fill="A6A6A6" w:themeFill="background1" w:themeFillShade="A6"/>
        <w:spacing w:before="120" w:after="240"/>
        <w:jc w:val="right"/>
      </w:pPr>
      <w:hyperlink w:anchor="TableofContents" w:history="1">
        <w:r w:rsidR="00B14249">
          <w:rPr>
            <w:rStyle w:val="Hyperlink"/>
            <w:sz w:val="16"/>
            <w:szCs w:val="16"/>
          </w:rPr>
          <w:t>Sumário</w:t>
        </w:r>
      </w:hyperlink>
      <w:r w:rsidR="00B14249">
        <w:rPr>
          <w:sz w:val="16"/>
          <w:szCs w:val="16"/>
        </w:rPr>
        <w:t>/</w:t>
      </w:r>
      <w:hyperlink w:anchor="GeneralTerms" w:history="1">
        <w:r w:rsidR="00B14249">
          <w:rPr>
            <w:rStyle w:val="Hyperlink"/>
            <w:sz w:val="16"/>
            <w:szCs w:val="16"/>
          </w:rPr>
          <w:t>Termos Gerais</w:t>
        </w:r>
      </w:hyperlink>
    </w:p>
    <w:p w:rsidR="008E1EAF" w:rsidRPr="00B810D0" w:rsidRDefault="00917344" w:rsidP="00233C87">
      <w:pPr>
        <w:pStyle w:val="ProductList-Offering2Heading"/>
        <w:outlineLvl w:val="2"/>
      </w:pPr>
      <w:r>
        <w:tab/>
      </w:r>
      <w:bookmarkStart w:id="65" w:name="_Toc391645822"/>
      <w:r>
        <w:t>Microsoft Learning E-Reference Library</w:t>
      </w:r>
      <w:bookmarkEnd w:id="65"/>
    </w:p>
    <w:p w:rsidR="008E1EAF" w:rsidRPr="00B810D0" w:rsidRDefault="00917344" w:rsidP="00A914BF">
      <w:pPr>
        <w:pStyle w:val="ProductList-Body"/>
      </w:pPr>
      <w:r>
        <w:t>Qualquer pessoa que tenha acesso válido ao computador ou à rede interna do Cliente poderá copiar e usar a documentação para fins de referência interna do Cliente. A documentação não inclui livros eletrônicos.</w:t>
      </w:r>
    </w:p>
    <w:p w:rsidR="00917344" w:rsidRPr="00B810D0" w:rsidRDefault="00EA64EF" w:rsidP="00917344">
      <w:pPr>
        <w:pStyle w:val="ProductList-Body"/>
        <w:shd w:val="clear" w:color="auto" w:fill="A6A6A6" w:themeFill="background1" w:themeFillShade="A6"/>
        <w:spacing w:before="120" w:after="240"/>
        <w:jc w:val="right"/>
      </w:pPr>
      <w:hyperlink w:anchor="TableofContents" w:history="1">
        <w:r w:rsidR="00DA2DE3">
          <w:rPr>
            <w:rStyle w:val="Hyperlink"/>
            <w:sz w:val="16"/>
            <w:szCs w:val="16"/>
          </w:rPr>
          <w:t>Sumário</w:t>
        </w:r>
      </w:hyperlink>
      <w:r w:rsidR="00DA2DE3">
        <w:rPr>
          <w:sz w:val="16"/>
          <w:szCs w:val="16"/>
        </w:rPr>
        <w:t>/</w:t>
      </w:r>
      <w:hyperlink w:anchor="GeneralTerms" w:history="1">
        <w:r w:rsidR="00DA2DE3">
          <w:rPr>
            <w:rStyle w:val="Hyperlink"/>
            <w:sz w:val="16"/>
            <w:szCs w:val="16"/>
          </w:rPr>
          <w:t>Termos Gerais</w:t>
        </w:r>
      </w:hyperlink>
    </w:p>
    <w:p w:rsidR="008E1EAF" w:rsidRPr="00B810D0" w:rsidRDefault="00917344" w:rsidP="00233C87">
      <w:pPr>
        <w:pStyle w:val="ProductList-Offering2Heading"/>
        <w:outlineLvl w:val="2"/>
      </w:pPr>
      <w:r>
        <w:tab/>
      </w:r>
      <w:bookmarkStart w:id="66" w:name="_Toc391645823"/>
      <w:r>
        <w:t>Microsoft Learning IT Academy</w:t>
      </w:r>
      <w:bookmarkEnd w:id="66"/>
    </w:p>
    <w:p w:rsidR="00917344" w:rsidRPr="00B810D0" w:rsidRDefault="00917344" w:rsidP="00917344">
      <w:pPr>
        <w:pStyle w:val="ProductList-Body"/>
      </w:pPr>
      <w:r>
        <w:rPr>
          <w:b/>
          <w:color w:val="00188F"/>
        </w:rPr>
        <w:t>SL de Serviço</w:t>
      </w:r>
    </w:p>
    <w:p w:rsidR="00917344" w:rsidRPr="00B810D0" w:rsidRDefault="00917344" w:rsidP="00917344">
      <w:pPr>
        <w:pStyle w:val="ProductList-Body"/>
      </w:pPr>
      <w:r>
        <w:t>Uma SL de Serviço é exigida para cada Local que acessa ou usa qualquer serviço ou benefício do Microsoft Learning IT Academy. O Local é definido como um local físico com uma equipe liderada pelo mesmo administrador, como um diretor, em um único prédio ou grupo de prédios localizado no mesmo campus.</w:t>
      </w:r>
    </w:p>
    <w:p w:rsidR="00917344" w:rsidRPr="0054134F" w:rsidRDefault="00917344" w:rsidP="00917344">
      <w:pPr>
        <w:pStyle w:val="ProductList-Body"/>
        <w:rPr>
          <w:sz w:val="15"/>
          <w:szCs w:val="15"/>
        </w:rPr>
      </w:pPr>
    </w:p>
    <w:p w:rsidR="00917344" w:rsidRPr="00B810D0" w:rsidRDefault="00917344" w:rsidP="00917344">
      <w:pPr>
        <w:pStyle w:val="ProductList-Body"/>
      </w:pPr>
      <w:r>
        <w:rPr>
          <w:b/>
          <w:color w:val="00188F"/>
        </w:rPr>
        <w:t>Diretrizes do Programa IT Academy</w:t>
      </w:r>
    </w:p>
    <w:p w:rsidR="00917344" w:rsidRPr="00B810D0" w:rsidRDefault="00917344" w:rsidP="00917344">
      <w:pPr>
        <w:pStyle w:val="ProductList-Body"/>
      </w:pPr>
      <w:r>
        <w:t xml:space="preserve">As diretrizes do programa IT Academy, localizadas no site </w:t>
      </w:r>
      <w:hyperlink r:id="rId43" w:history="1">
        <w:r>
          <w:rPr>
            <w:rStyle w:val="Hyperlink"/>
          </w:rPr>
          <w:t>http://www.microsoft.com/itacademy</w:t>
        </w:r>
      </w:hyperlink>
      <w:r>
        <w:t>, aplicam-se ao uso que o Cliente faz do Microsoft</w:t>
      </w:r>
      <w:r w:rsidR="00AF1BF3">
        <w:t> </w:t>
      </w:r>
      <w:r>
        <w:t>Learning IT Academy e dos seus benefícios.</w:t>
      </w:r>
    </w:p>
    <w:p w:rsidR="00917344" w:rsidRPr="0054134F" w:rsidRDefault="00917344" w:rsidP="00917344">
      <w:pPr>
        <w:pStyle w:val="ProductList-Body"/>
        <w:rPr>
          <w:sz w:val="15"/>
          <w:szCs w:val="15"/>
        </w:rPr>
      </w:pPr>
    </w:p>
    <w:p w:rsidR="00917344" w:rsidRPr="00B810D0" w:rsidRDefault="00917344" w:rsidP="00917344">
      <w:pPr>
        <w:pStyle w:val="ProductList-Body"/>
      </w:pPr>
      <w:r>
        <w:rPr>
          <w:b/>
          <w:color w:val="00188F"/>
        </w:rPr>
        <w:t>Benefícios do Programa Fornecidos por Terceiros</w:t>
      </w:r>
    </w:p>
    <w:p w:rsidR="008E1EAF" w:rsidRPr="00B810D0" w:rsidRDefault="00917344" w:rsidP="00917344">
      <w:pPr>
        <w:pStyle w:val="ProductList-Body"/>
      </w:pPr>
      <w:r>
        <w:t>Os benefícios do programa só podem ser usados pelo corpo docente e pela equipe de uma instituição licenciada, bem como pelos alunos nela matriculados no momento.</w:t>
      </w:r>
    </w:p>
    <w:p w:rsidR="00917344" w:rsidRPr="00B810D0" w:rsidRDefault="00EA64EF" w:rsidP="00917344">
      <w:pPr>
        <w:pStyle w:val="ProductList-Body"/>
        <w:shd w:val="clear" w:color="auto" w:fill="A6A6A6" w:themeFill="background1" w:themeFillShade="A6"/>
        <w:spacing w:before="120" w:after="240"/>
        <w:jc w:val="right"/>
      </w:pPr>
      <w:hyperlink w:anchor="TableofContents" w:history="1">
        <w:r w:rsidR="00AF1BF3">
          <w:rPr>
            <w:rStyle w:val="Hyperlink"/>
            <w:sz w:val="16"/>
            <w:szCs w:val="16"/>
          </w:rPr>
          <w:t>Sumário</w:t>
        </w:r>
      </w:hyperlink>
      <w:r w:rsidR="00AF1BF3">
        <w:rPr>
          <w:sz w:val="16"/>
          <w:szCs w:val="16"/>
        </w:rPr>
        <w:t>/</w:t>
      </w:r>
      <w:hyperlink w:anchor="GeneralTerms" w:history="1">
        <w:r w:rsidR="00AF1BF3">
          <w:rPr>
            <w:rStyle w:val="Hyperlink"/>
            <w:sz w:val="16"/>
            <w:szCs w:val="16"/>
          </w:rPr>
          <w:t>Termos Gerais</w:t>
        </w:r>
      </w:hyperlink>
    </w:p>
    <w:p w:rsidR="00D12FE5" w:rsidRPr="00B810D0" w:rsidRDefault="00D12FE5" w:rsidP="00D12FE5">
      <w:pPr>
        <w:pStyle w:val="ProductList-Offering2Heading"/>
      </w:pPr>
      <w:r>
        <w:tab/>
      </w:r>
      <w:bookmarkStart w:id="67" w:name="_Toc391645824"/>
      <w:r>
        <w:t>Microsoft Rights Management</w:t>
      </w:r>
      <w:bookmarkEnd w:id="67"/>
    </w:p>
    <w:p w:rsidR="00D12FE5" w:rsidRPr="00B810D0" w:rsidRDefault="00D12FE5" w:rsidP="00D12FE5">
      <w:pPr>
        <w:pStyle w:val="ProductList-Body"/>
      </w:pPr>
      <w:r>
        <w:t xml:space="preserve">Além das SLs de Usuário, consulte o </w:t>
      </w:r>
      <w:hyperlink w:anchor="Attachment2" w:history="1">
        <w:r>
          <w:rPr>
            <w:rStyle w:val="Hyperlink"/>
          </w:rPr>
          <w:t>Anexo 2</w:t>
        </w:r>
      </w:hyperlink>
      <w:r>
        <w:t xml:space="preserve"> para outras SLs que cumprem os requisitos do Microsoft Rights Management.</w:t>
      </w:r>
    </w:p>
    <w:p w:rsidR="00D12FE5" w:rsidRPr="00B810D0" w:rsidRDefault="00EA64EF" w:rsidP="00D12FE5">
      <w:pPr>
        <w:pStyle w:val="ProductList-Body"/>
        <w:shd w:val="clear" w:color="auto" w:fill="A6A6A6" w:themeFill="background1" w:themeFillShade="A6"/>
        <w:spacing w:before="120" w:after="240"/>
        <w:jc w:val="right"/>
      </w:pPr>
      <w:hyperlink w:anchor="TableofContents" w:history="1">
        <w:r w:rsidR="00AF1BF3">
          <w:rPr>
            <w:rStyle w:val="Hyperlink"/>
            <w:sz w:val="16"/>
            <w:szCs w:val="16"/>
          </w:rPr>
          <w:t>Sumário</w:t>
        </w:r>
      </w:hyperlink>
      <w:r w:rsidR="00AF1BF3">
        <w:rPr>
          <w:sz w:val="16"/>
          <w:szCs w:val="16"/>
        </w:rPr>
        <w:t>/</w:t>
      </w:r>
      <w:hyperlink w:anchor="GeneralTerms" w:history="1">
        <w:r w:rsidR="00AF1BF3">
          <w:rPr>
            <w:rStyle w:val="Hyperlink"/>
            <w:sz w:val="16"/>
            <w:szCs w:val="16"/>
          </w:rPr>
          <w:t>Termos Gerais</w:t>
        </w:r>
      </w:hyperlink>
    </w:p>
    <w:p w:rsidR="00581CDB" w:rsidRPr="00B810D0" w:rsidRDefault="00581CDB" w:rsidP="00581CDB">
      <w:pPr>
        <w:pStyle w:val="ProductList-Offering2Heading"/>
        <w:outlineLvl w:val="2"/>
      </w:pPr>
      <w:r>
        <w:tab/>
      </w:r>
      <w:bookmarkStart w:id="68" w:name="_Toc391645825"/>
      <w:r>
        <w:t>Office 365 Developer</w:t>
      </w:r>
      <w:bookmarkEnd w:id="68"/>
    </w:p>
    <w:p w:rsidR="00581CDB" w:rsidRPr="00B810D0" w:rsidRDefault="00581CDB" w:rsidP="00581CDB">
      <w:pPr>
        <w:pStyle w:val="ProductList-Body"/>
        <w:tabs>
          <w:tab w:val="clear" w:pos="158"/>
          <w:tab w:val="left" w:pos="180"/>
        </w:tabs>
      </w:pPr>
      <w:r>
        <w:rPr>
          <w:b/>
          <w:color w:val="00188F"/>
        </w:rPr>
        <w:t>Ausência de Uso de Produção do Office 365 Developer</w:t>
      </w:r>
    </w:p>
    <w:p w:rsidR="00581CDB" w:rsidRPr="00B810D0"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w:t>
      </w:r>
      <w:r w:rsidR="001B188B">
        <w:t> </w:t>
      </w:r>
      <w:r>
        <w:t>fim de disponibilizá-los para seus Serviços Online do Office 365, em implantações locais ou para a Microsoft Office Store. O Serviço Online não é</w:t>
      </w:r>
      <w:r w:rsidR="001B188B">
        <w:t> </w:t>
      </w:r>
      <w:r>
        <w:t>licenciado para uso em produção.</w:t>
      </w:r>
    </w:p>
    <w:p w:rsidR="00581CDB" w:rsidRPr="0054134F" w:rsidRDefault="00581CDB" w:rsidP="00581CDB">
      <w:pPr>
        <w:pStyle w:val="ProductList-Body"/>
        <w:tabs>
          <w:tab w:val="clear" w:pos="158"/>
          <w:tab w:val="left" w:pos="180"/>
        </w:tabs>
        <w:rPr>
          <w:sz w:val="15"/>
          <w:szCs w:val="15"/>
        </w:rPr>
      </w:pPr>
    </w:p>
    <w:p w:rsidR="00581CDB" w:rsidRPr="00B810D0" w:rsidRDefault="00581CDB" w:rsidP="00581CDB">
      <w:pPr>
        <w:pStyle w:val="ProductList-Body"/>
        <w:tabs>
          <w:tab w:val="clear" w:pos="158"/>
          <w:tab w:val="left" w:pos="180"/>
        </w:tabs>
      </w:pPr>
      <w:r>
        <w:rPr>
          <w:b/>
          <w:color w:val="00188F"/>
        </w:rPr>
        <w:t>Usuários Finais do Office 365 Developer</w:t>
      </w:r>
    </w:p>
    <w:p w:rsidR="00581CDB" w:rsidRPr="00B810D0"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rsidR="00581CDB" w:rsidRPr="00B810D0" w:rsidRDefault="00EA64EF" w:rsidP="00581CDB">
      <w:pPr>
        <w:pStyle w:val="ProductList-Body"/>
        <w:shd w:val="clear" w:color="auto" w:fill="A6A6A6" w:themeFill="background1" w:themeFillShade="A6"/>
        <w:spacing w:before="120" w:after="240"/>
        <w:jc w:val="right"/>
      </w:pPr>
      <w:hyperlink w:anchor="TableofContents" w:history="1">
        <w:r w:rsidR="00AF1BF3">
          <w:rPr>
            <w:rStyle w:val="Hyperlink"/>
            <w:sz w:val="16"/>
            <w:szCs w:val="16"/>
          </w:rPr>
          <w:t>Sumário</w:t>
        </w:r>
      </w:hyperlink>
      <w:r w:rsidR="00AF1BF3">
        <w:rPr>
          <w:sz w:val="16"/>
          <w:szCs w:val="16"/>
        </w:rPr>
        <w:t>/</w:t>
      </w:r>
      <w:hyperlink w:anchor="GeneralTerms" w:history="1">
        <w:r w:rsidR="00AF1BF3">
          <w:rPr>
            <w:rStyle w:val="Hyperlink"/>
            <w:sz w:val="16"/>
            <w:szCs w:val="16"/>
          </w:rPr>
          <w:t>Termos Gerais</w:t>
        </w:r>
      </w:hyperlink>
    </w:p>
    <w:p w:rsidR="008E1EAF" w:rsidRPr="00B810D0" w:rsidRDefault="00D67A4B" w:rsidP="00233C87">
      <w:pPr>
        <w:pStyle w:val="ProductList-Offering2Heading"/>
        <w:outlineLvl w:val="2"/>
      </w:pPr>
      <w:r>
        <w:tab/>
      </w:r>
      <w:bookmarkStart w:id="69" w:name="_Toc391645826"/>
      <w:r>
        <w:t>Power BI para Office 365</w:t>
      </w:r>
      <w:bookmarkEnd w:id="69"/>
    </w:p>
    <w:p w:rsidR="00D12FE5" w:rsidRPr="00B810D0" w:rsidRDefault="00D12FE5" w:rsidP="00D12FE5">
      <w:pPr>
        <w:pStyle w:val="ProductList-Body"/>
        <w:tabs>
          <w:tab w:val="clear" w:pos="158"/>
          <w:tab w:val="left" w:pos="360"/>
        </w:tabs>
      </w:pPr>
      <w:r>
        <w:rPr>
          <w:b/>
          <w:color w:val="00188F"/>
        </w:rPr>
        <w:t>Notificações</w:t>
      </w:r>
    </w:p>
    <w:p w:rsidR="00D12FE5" w:rsidRPr="00B810D0" w:rsidRDefault="00D12FE5" w:rsidP="00D12FE5">
      <w:pPr>
        <w:pStyle w:val="ProductList-Body"/>
      </w:pPr>
      <w:r>
        <w:t xml:space="preserve">As Notificações sobre o Bing Mapas contidas no </w:t>
      </w:r>
      <w:hyperlink w:anchor="Attachment1" w:history="1">
        <w:r>
          <w:rPr>
            <w:rStyle w:val="Hyperlink"/>
          </w:rPr>
          <w:t>Anexo 1</w:t>
        </w:r>
      </w:hyperlink>
      <w:r>
        <w:t xml:space="preserve"> são aplicáveis.</w:t>
      </w:r>
    </w:p>
    <w:p w:rsidR="00D67A4B" w:rsidRPr="00B810D0" w:rsidRDefault="00EA64EF" w:rsidP="00D67A4B">
      <w:pPr>
        <w:pStyle w:val="ProductList-Body"/>
        <w:shd w:val="clear" w:color="auto" w:fill="A6A6A6" w:themeFill="background1" w:themeFillShade="A6"/>
        <w:spacing w:before="120" w:after="240"/>
        <w:jc w:val="right"/>
      </w:pPr>
      <w:hyperlink w:anchor="TableofContents" w:history="1">
        <w:r w:rsidR="00726D2E">
          <w:rPr>
            <w:rStyle w:val="Hyperlink"/>
            <w:sz w:val="16"/>
            <w:szCs w:val="16"/>
          </w:rPr>
          <w:t>Sumário</w:t>
        </w:r>
      </w:hyperlink>
      <w:r w:rsidR="00726D2E">
        <w:rPr>
          <w:sz w:val="16"/>
          <w:szCs w:val="16"/>
        </w:rPr>
        <w:t>/</w:t>
      </w:r>
      <w:hyperlink w:anchor="GeneralTerms" w:history="1">
        <w:r w:rsidR="00726D2E">
          <w:rPr>
            <w:rStyle w:val="Hyperlink"/>
            <w:sz w:val="16"/>
            <w:szCs w:val="16"/>
          </w:rPr>
          <w:t>Termos Gerais</w:t>
        </w:r>
      </w:hyperlink>
    </w:p>
    <w:p w:rsidR="003D22CB" w:rsidRPr="00B810D0" w:rsidRDefault="00D67A4B" w:rsidP="00233C87">
      <w:pPr>
        <w:pStyle w:val="ProductList-Offering2Heading"/>
        <w:outlineLvl w:val="2"/>
      </w:pPr>
      <w:r>
        <w:tab/>
      </w:r>
      <w:bookmarkStart w:id="70" w:name="_Toc391645827"/>
      <w:r>
        <w:t>System Center Endpoint Protection</w:t>
      </w:r>
      <w:bookmarkEnd w:id="70"/>
    </w:p>
    <w:p w:rsidR="00D67A4B" w:rsidRPr="00B810D0" w:rsidRDefault="00D67A4B" w:rsidP="00D67A4B">
      <w:pPr>
        <w:pStyle w:val="ProductList-Body"/>
      </w:pPr>
      <w:r>
        <w:rPr>
          <w:b/>
          <w:color w:val="00188F"/>
        </w:rPr>
        <w:t>SLs de Dispositivo</w:t>
      </w:r>
    </w:p>
    <w:p w:rsidR="00D67A4B" w:rsidRPr="00B810D0" w:rsidRDefault="00D67A4B" w:rsidP="00D67A4B">
      <w:pPr>
        <w:pStyle w:val="ProductList-Body"/>
      </w:pPr>
      <w:r>
        <w:t>É necessária uma SL para cada dispositivo que acessa o System Center Endpoint Protection ou software relacionado, exceto Servidores, que exigem Licenças de Gerenciamento de Servidor.</w:t>
      </w:r>
    </w:p>
    <w:p w:rsidR="00D67A4B" w:rsidRPr="0054134F" w:rsidRDefault="00D67A4B" w:rsidP="00D67A4B">
      <w:pPr>
        <w:pStyle w:val="ProductList-Body"/>
        <w:rPr>
          <w:sz w:val="15"/>
          <w:szCs w:val="15"/>
        </w:rPr>
      </w:pPr>
    </w:p>
    <w:p w:rsidR="00D67A4B" w:rsidRPr="00B810D0" w:rsidRDefault="00D67A4B" w:rsidP="00D67A4B">
      <w:pPr>
        <w:pStyle w:val="ProductList-Body"/>
      </w:pPr>
      <w:r>
        <w:rPr>
          <w:b/>
          <w:color w:val="00188F"/>
        </w:rPr>
        <w:t>SLs de Gerenciamento de Servidor</w:t>
      </w:r>
    </w:p>
    <w:p w:rsidR="00D67A4B" w:rsidRPr="00B810D0" w:rsidRDefault="00D67A4B" w:rsidP="00D67A4B">
      <w:pPr>
        <w:pStyle w:val="ProductList-Body"/>
      </w:pPr>
      <w:r>
        <w:t xml:space="preserve">Além dos requisitos de SL de Usuário, as Licenças de Gerenciamento de Servidor são exigidas para cada Servidor no número especificado nos termos de licença do System Center 2012 R2 Datacenter e Standard na seção Servidores de Gerenciamento dos Direitos de Uso de Produto. Os Direitos de Uso de Produto estão localizados no site </w:t>
      </w:r>
      <w:hyperlink r:id="rId44" w:history="1">
        <w:r>
          <w:rPr>
            <w:rStyle w:val="Hyperlink"/>
          </w:rPr>
          <w:t>http://go.microsoft.com/?linkid=9839206</w:t>
        </w:r>
      </w:hyperlink>
      <w:r>
        <w:t>. Para fins desta declaração, OSEs nos quais sistemas operacionais de servidor sejam executados, que acessem o System Center Endpoint Protection ou software relacionado, são OSEs gerenciados. Para este parágrafo, “Servidores</w:t>
      </w:r>
      <w:r w:rsidR="006573C2">
        <w:t>”</w:t>
      </w:r>
      <w:r>
        <w:t xml:space="preserve"> corresponde a um dispositivo no qual o Cliente executa o software de sistema operacional do servidor.</w:t>
      </w:r>
    </w:p>
    <w:p w:rsidR="00D67A4B" w:rsidRPr="0054134F" w:rsidRDefault="00D67A4B" w:rsidP="00D67A4B">
      <w:pPr>
        <w:pStyle w:val="ProductList-Body"/>
        <w:rPr>
          <w:sz w:val="15"/>
          <w:szCs w:val="15"/>
        </w:rPr>
      </w:pPr>
    </w:p>
    <w:p w:rsidR="00D67A4B" w:rsidRPr="00B810D0" w:rsidRDefault="00D67A4B" w:rsidP="00D67A4B">
      <w:pPr>
        <w:pStyle w:val="ProductList-Body"/>
      </w:pPr>
      <w:r>
        <w:rPr>
          <w:b/>
          <w:color w:val="00188F"/>
        </w:rPr>
        <w:t>Substituição de Mecanismos de Verificação</w:t>
      </w:r>
    </w:p>
    <w:p w:rsidR="00D67A4B" w:rsidRPr="00B810D0" w:rsidRDefault="00D67A4B" w:rsidP="00D67A4B">
      <w:pPr>
        <w:pStyle w:val="ProductList-Body"/>
      </w:pPr>
      <w:r>
        <w:t>A Microsoft poderá substituir o software e os arquivos semelhantes pelo Serviço Online:</w:t>
      </w:r>
    </w:p>
    <w:p w:rsidR="00D67A4B" w:rsidRPr="00B810D0" w:rsidRDefault="00D67A4B" w:rsidP="00D67A4B">
      <w:pPr>
        <w:pStyle w:val="ProductList-Body"/>
        <w:numPr>
          <w:ilvl w:val="0"/>
          <w:numId w:val="21"/>
        </w:numPr>
        <w:ind w:left="450" w:hanging="270"/>
      </w:pPr>
      <w:r>
        <w:t>software antivírus e anti-spam e</w:t>
      </w:r>
    </w:p>
    <w:p w:rsidR="003D22CB" w:rsidRPr="00B810D0" w:rsidRDefault="00D67A4B" w:rsidP="0088164F">
      <w:pPr>
        <w:pStyle w:val="ProductList-Body"/>
        <w:numPr>
          <w:ilvl w:val="0"/>
          <w:numId w:val="21"/>
        </w:numPr>
        <w:spacing w:before="40"/>
        <w:ind w:left="461" w:hanging="274"/>
      </w:pPr>
      <w:r>
        <w:t>arquivos de assinatura e arquivos de dados com filtragem de conteúdo.</w:t>
      </w:r>
    </w:p>
    <w:p w:rsidR="00D67A4B" w:rsidRPr="00B810D0" w:rsidRDefault="00EA64EF" w:rsidP="00D67A4B">
      <w:pPr>
        <w:pStyle w:val="ProductList-Body"/>
        <w:shd w:val="clear" w:color="auto" w:fill="A6A6A6" w:themeFill="background1" w:themeFillShade="A6"/>
        <w:spacing w:before="120" w:after="240"/>
        <w:jc w:val="right"/>
      </w:pPr>
      <w:hyperlink w:anchor="TableofContents" w:history="1">
        <w:r w:rsidR="00154EA0">
          <w:rPr>
            <w:rStyle w:val="Hyperlink"/>
            <w:sz w:val="16"/>
            <w:szCs w:val="16"/>
          </w:rPr>
          <w:t>Sumário</w:t>
        </w:r>
      </w:hyperlink>
      <w:r w:rsidR="00154EA0">
        <w:rPr>
          <w:sz w:val="16"/>
          <w:szCs w:val="16"/>
        </w:rPr>
        <w:t>/</w:t>
      </w:r>
      <w:hyperlink w:anchor="GeneralTerms" w:history="1">
        <w:r w:rsidR="00154EA0">
          <w:rPr>
            <w:rStyle w:val="Hyperlink"/>
            <w:sz w:val="16"/>
            <w:szCs w:val="16"/>
          </w:rPr>
          <w:t>Termos Gerais</w:t>
        </w:r>
      </w:hyperlink>
    </w:p>
    <w:p w:rsidR="00D67A4B" w:rsidRPr="00B810D0" w:rsidRDefault="00D67A4B" w:rsidP="00233C87">
      <w:pPr>
        <w:pStyle w:val="ProductList-Offering2Heading"/>
        <w:outlineLvl w:val="2"/>
      </w:pPr>
      <w:r>
        <w:tab/>
      </w:r>
      <w:bookmarkStart w:id="71" w:name="_Toc391645828"/>
      <w:r>
        <w:t>Translator API</w:t>
      </w:r>
      <w:bookmarkEnd w:id="71"/>
    </w:p>
    <w:p w:rsidR="00D67A4B" w:rsidRPr="00B810D0" w:rsidRDefault="00D67A4B" w:rsidP="00A914BF">
      <w:pPr>
        <w:pStyle w:val="ProductList-Body"/>
      </w:pPr>
      <w:r>
        <w:t xml:space="preserve">O Cliente poderá usar a API do Translator de acordo com os respectivos Termos de Uso, incluindo Termos sucessores, localizados no site </w:t>
      </w:r>
      <w:hyperlink r:id="rId45" w:history="1">
        <w:r>
          <w:rPr>
            <w:rStyle w:val="Hyperlink"/>
          </w:rPr>
          <w:t>http://aka.ms/translatortou</w:t>
        </w:r>
      </w:hyperlink>
      <w:r>
        <w:t xml:space="preserve"> e a Política de Privacidade do Translator localizada no site </w:t>
      </w:r>
      <w:hyperlink r:id="rId46" w:history="1">
        <w:r>
          <w:rPr>
            <w:rStyle w:val="Hyperlink"/>
          </w:rPr>
          <w:t>http://aka.ms/translatorprivacy</w:t>
        </w:r>
      </w:hyperlink>
      <w:r>
        <w:t>.</w:t>
      </w:r>
    </w:p>
    <w:p w:rsidR="00D67A4B" w:rsidRPr="00B810D0" w:rsidRDefault="00EA64EF" w:rsidP="00D67A4B">
      <w:pPr>
        <w:pStyle w:val="ProductList-Body"/>
        <w:shd w:val="clear" w:color="auto" w:fill="A6A6A6" w:themeFill="background1" w:themeFillShade="A6"/>
        <w:spacing w:before="120" w:after="240"/>
        <w:jc w:val="right"/>
      </w:pPr>
      <w:hyperlink w:anchor="TableofContents" w:history="1">
        <w:r w:rsidR="008F2023">
          <w:rPr>
            <w:rStyle w:val="Hyperlink"/>
            <w:sz w:val="16"/>
            <w:szCs w:val="16"/>
          </w:rPr>
          <w:t>Sumário</w:t>
        </w:r>
      </w:hyperlink>
      <w:r w:rsidR="008F2023">
        <w:rPr>
          <w:sz w:val="16"/>
          <w:szCs w:val="16"/>
        </w:rPr>
        <w:t>/</w:t>
      </w:r>
      <w:hyperlink w:anchor="GeneralTerms" w:history="1">
        <w:r w:rsidR="008F2023">
          <w:rPr>
            <w:rStyle w:val="Hyperlink"/>
            <w:sz w:val="16"/>
            <w:szCs w:val="16"/>
          </w:rPr>
          <w:t>Termos Gerais</w:t>
        </w:r>
      </w:hyperlink>
    </w:p>
    <w:p w:rsidR="000E6ED8" w:rsidRPr="00B810D0" w:rsidRDefault="00D67A4B" w:rsidP="00233C87">
      <w:pPr>
        <w:pStyle w:val="ProductList-Offering2Heading"/>
        <w:outlineLvl w:val="2"/>
      </w:pPr>
      <w:bookmarkStart w:id="72" w:name="_Toc391645829"/>
      <w:r>
        <w:t>Yammer Enterprise</w:t>
      </w:r>
      <w:bookmarkEnd w:id="72"/>
    </w:p>
    <w:p w:rsidR="00D67A4B" w:rsidRPr="00B810D0" w:rsidRDefault="00D67A4B" w:rsidP="00D67A4B">
      <w:pPr>
        <w:pStyle w:val="ProductList-Body"/>
      </w:pPr>
      <w:r>
        <w:rPr>
          <w:b/>
          <w:color w:val="00188F"/>
        </w:rPr>
        <w:t>Usuários Externos</w:t>
      </w:r>
    </w:p>
    <w:p w:rsidR="00D67A4B" w:rsidRPr="00B810D0" w:rsidRDefault="00D67A4B" w:rsidP="00D67A4B">
      <w:pPr>
        <w:pStyle w:val="ProductList-Body"/>
      </w:pPr>
      <w:r>
        <w:t>Usuários Externos convidados para o Yammer por meio da funcionalidade de rede externa não precisam de SLs de Usuário.</w:t>
      </w:r>
    </w:p>
    <w:p w:rsidR="00D67A4B" w:rsidRPr="00B810D0" w:rsidRDefault="00D67A4B" w:rsidP="00D67A4B">
      <w:pPr>
        <w:pStyle w:val="ProductList-Body"/>
      </w:pPr>
    </w:p>
    <w:p w:rsidR="00D67A4B" w:rsidRPr="00B810D0" w:rsidRDefault="00D67A4B" w:rsidP="00D67A4B">
      <w:pPr>
        <w:pStyle w:val="ProductList-Body"/>
      </w:pPr>
      <w:r>
        <w:rPr>
          <w:b/>
          <w:color w:val="00188F"/>
        </w:rPr>
        <w:t>Uso dos Dados do Cliente pela Microsoft</w:t>
      </w:r>
    </w:p>
    <w:p w:rsidR="00D67A4B" w:rsidRPr="00B810D0" w:rsidRDefault="00D67A4B" w:rsidP="00D67A4B">
      <w:pPr>
        <w:pStyle w:val="ProductList-Body"/>
      </w:pPr>
      <w:r>
        <w:t xml:space="preserve">A despeito de qualquer disposição em contrário presente no contrato de licenciamento por volume do Cliente ou nos OST, o uso que a Microsoft faz dos Dados do Cliente no serviço online do Yammer Enterprise, antes e após o término da assinatura do Serviço Online do Cliente, será regido pela Política de Privacidade do Yammer contida no site </w:t>
      </w:r>
      <w:hyperlink r:id="rId47" w:history="1">
        <w:r>
          <w:rPr>
            <w:rStyle w:val="Hyperlink"/>
          </w:rPr>
          <w:t>www.yammer.com/about/privacy</w:t>
        </w:r>
      </w:hyperlink>
      <w:r>
        <w:t xml:space="preserve">. </w:t>
      </w:r>
    </w:p>
    <w:p w:rsidR="00D67A4B" w:rsidRPr="00B810D0" w:rsidRDefault="00D67A4B" w:rsidP="00D67A4B">
      <w:pPr>
        <w:pStyle w:val="ProductList-Body"/>
      </w:pPr>
    </w:p>
    <w:p w:rsidR="00D67A4B" w:rsidRPr="00B810D0" w:rsidRDefault="00D67A4B" w:rsidP="00D67A4B">
      <w:pPr>
        <w:pStyle w:val="ProductList-Body"/>
      </w:pPr>
      <w:r>
        <w:rPr>
          <w:b/>
          <w:color w:val="00188F"/>
        </w:rPr>
        <w:t>Crianças</w:t>
      </w:r>
    </w:p>
    <w:p w:rsidR="00D67A4B" w:rsidRPr="00B810D0" w:rsidRDefault="00D67A4B" w:rsidP="00D67A4B">
      <w:pPr>
        <w:pStyle w:val="ProductList-Body"/>
      </w:pPr>
      <w:r>
        <w:t>O Yammer Enterprise não se destina, tão pouco foi desenvolvido, para atrair usuários menores de 13 anos. O Cliente não deverá configurar uma conta do Yammer para ninguém que tenha menos de 13 anos de idade.</w:t>
      </w:r>
    </w:p>
    <w:p w:rsidR="00D67A4B" w:rsidRPr="00B810D0" w:rsidRDefault="00EA64EF" w:rsidP="00D67A4B">
      <w:pPr>
        <w:pStyle w:val="ProductList-Body"/>
        <w:shd w:val="clear" w:color="auto" w:fill="A6A6A6" w:themeFill="background1" w:themeFillShade="A6"/>
        <w:spacing w:before="120" w:after="240"/>
        <w:jc w:val="right"/>
      </w:pPr>
      <w:hyperlink w:anchor="TableofContents" w:history="1">
        <w:r w:rsidR="00CD2C0E">
          <w:rPr>
            <w:rStyle w:val="Hyperlink"/>
            <w:sz w:val="16"/>
            <w:szCs w:val="16"/>
          </w:rPr>
          <w:t>Sumário</w:t>
        </w:r>
      </w:hyperlink>
      <w:r w:rsidR="00CD2C0E">
        <w:rPr>
          <w:sz w:val="16"/>
          <w:szCs w:val="16"/>
        </w:rPr>
        <w:t>/</w:t>
      </w:r>
      <w:hyperlink w:anchor="GeneralTerms" w:history="1">
        <w:r w:rsidR="00CD2C0E">
          <w:rPr>
            <w:rStyle w:val="Hyperlink"/>
            <w:sz w:val="16"/>
            <w:szCs w:val="16"/>
          </w:rPr>
          <w:t>Termos Gerais</w:t>
        </w:r>
      </w:hyperlink>
    </w:p>
    <w:p w:rsidR="000E6ED8" w:rsidRPr="00B810D0"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B810D0" w:rsidRDefault="00D67A4B" w:rsidP="00233C87">
      <w:pPr>
        <w:pStyle w:val="ProductList-SectionHeading"/>
        <w:outlineLvl w:val="0"/>
      </w:pPr>
      <w:bookmarkStart w:id="73" w:name="Attachment1"/>
      <w:bookmarkStart w:id="74" w:name="_Toc391645830"/>
      <w:r>
        <w:t>Anexo 1 – Notificações</w:t>
      </w:r>
      <w:bookmarkEnd w:id="73"/>
      <w:bookmarkEnd w:id="74"/>
    </w:p>
    <w:p w:rsidR="004D27A6" w:rsidRPr="00B810D0" w:rsidRDefault="00D67A4B" w:rsidP="00233C87">
      <w:pPr>
        <w:pStyle w:val="ProductList-Offering1Heading"/>
        <w:outlineLvl w:val="1"/>
      </w:pPr>
      <w:bookmarkStart w:id="75" w:name="_Toc391645831"/>
      <w:r>
        <w:t>Bing Maps</w:t>
      </w:r>
      <w:bookmarkEnd w:id="75"/>
    </w:p>
    <w:p w:rsidR="00D67A4B" w:rsidRPr="00B810D0" w:rsidRDefault="00D67A4B" w:rsidP="00A914BF">
      <w:pPr>
        <w:pStyle w:val="ProductList-Body"/>
      </w:pPr>
      <w:r>
        <w:t>O Serviço Online ou seu software incluído prevê o uso do Bing Mapas. Qualquer conteúdo fornecido por meio do Bing Maps, incluindo códigos geográficos, só pode ser usado no produto por meio do qual o conteúdo é fornecido. O uso que o Cliente faz do Bing Mapas também é regido pelos</w:t>
      </w:r>
      <w:r w:rsidR="00175524">
        <w:t> </w:t>
      </w:r>
      <w:r>
        <w:t xml:space="preserve">Termos do Usuário Final do Bing Mapas disponíveis no site </w:t>
      </w:r>
      <w:hyperlink r:id="rId48" w:history="1">
        <w:r>
          <w:rPr>
            <w:rStyle w:val="Hyperlink"/>
          </w:rPr>
          <w:t>go.microsoft.com/?linkid=9710837</w:t>
        </w:r>
      </w:hyperlink>
      <w:r>
        <w:t xml:space="preserve"> e pela Política de Privacidade do Bing Mapas disponível no site </w:t>
      </w:r>
      <w:hyperlink r:id="rId49" w:history="1">
        <w:r>
          <w:rPr>
            <w:rStyle w:val="Hyperlink"/>
          </w:rPr>
          <w:t>go.microsoft.com/fwlink/?LinkID=248686</w:t>
        </w:r>
      </w:hyperlink>
      <w:r>
        <w:t>.</w:t>
      </w:r>
    </w:p>
    <w:p w:rsidR="00A27D70" w:rsidRPr="00B810D0" w:rsidRDefault="00A27D70" w:rsidP="00A914BF">
      <w:pPr>
        <w:pStyle w:val="ProductList-Body"/>
      </w:pPr>
    </w:p>
    <w:p w:rsidR="00D67A4B" w:rsidRPr="00B810D0" w:rsidRDefault="00A27D70" w:rsidP="00233C87">
      <w:pPr>
        <w:pStyle w:val="ProductList-Offering1Heading"/>
        <w:outlineLvl w:val="1"/>
      </w:pPr>
      <w:bookmarkStart w:id="76" w:name="_Toc391645832"/>
      <w:r>
        <w:t>Suporte ao Cliente</w:t>
      </w:r>
      <w:bookmarkEnd w:id="76"/>
    </w:p>
    <w:p w:rsidR="00A27D70" w:rsidRPr="00B810D0" w:rsidRDefault="00A27D70" w:rsidP="00A27D70">
      <w:pPr>
        <w:pStyle w:val="ProductList-Body"/>
      </w:pPr>
      <w:r>
        <w:t>Se o contrato de licenciamento por volume do Cliente incorporar um Contrato Master Business datado de antes de 1º de setembro de 2007 (e</w:t>
      </w:r>
      <w:r w:rsidR="00175524">
        <w:t> </w:t>
      </w:r>
      <w:r>
        <w:t>o</w:t>
      </w:r>
      <w:r w:rsidR="00175524">
        <w:t> </w:t>
      </w:r>
      <w:r>
        <w:t>Cliente não tiver assinado nenhum outro contrato de Serviços Microsoft Professional nível master) ou se o Cliente fizer o licenciamento de acordo com o Contrato de Assinatura do Microsoft Online ou outro Contrato da Microsoft que abranja apenas os Serviços Online, o Atendimento ao Cliente será fornecido de acordo com esses termos adicionais.</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Definições</w:t>
      </w:r>
    </w:p>
    <w:p w:rsidR="00A27D70" w:rsidRPr="00B810D0" w:rsidRDefault="00A27D70" w:rsidP="00BC4E64">
      <w:pPr>
        <w:pStyle w:val="ProductList-Body"/>
        <w:spacing w:after="120"/>
      </w:pPr>
      <w:r>
        <w:t>Os termos usados, mas não definidos nesta Notificação de Atendimento ao Cliente terão a definição fornecida no contrato de licenciamento por volume do Cliente.</w:t>
      </w:r>
    </w:p>
    <w:p w:rsidR="00A27D70" w:rsidRPr="00B810D0" w:rsidRDefault="00A27D70" w:rsidP="00BC4E64">
      <w:pPr>
        <w:pStyle w:val="ProductList-Body"/>
        <w:spacing w:after="120"/>
      </w:pPr>
      <w:r>
        <w:t xml:space="preserve">“Atendimento ao Cliente” significa toda a consultoria ou o atendimento fornecido ao Cliente de acordo com o respectivo contrato de licenciamento por volume. </w:t>
      </w:r>
    </w:p>
    <w:p w:rsidR="00A27D70" w:rsidRPr="00B810D0" w:rsidRDefault="00A27D70" w:rsidP="00A27D70">
      <w:pPr>
        <w:pStyle w:val="ProductList-Body"/>
      </w:pPr>
      <w:r>
        <w:t>“Consertos (Fixes)” significa consertos (fixes), modificações ou melhorias no Produto, ou seus derivados, que a Microsoft geralmente lança (como</w:t>
      </w:r>
      <w:r w:rsidR="00175524">
        <w:t> </w:t>
      </w:r>
      <w:r>
        <w:t>service packs) ou fornece ao Cliente ao prestar Atendimento ao Cliente para tratar de um problema específico.</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Consertos (Fixes)</w:t>
      </w:r>
    </w:p>
    <w:p w:rsidR="00A27D70" w:rsidRPr="00B810D0" w:rsidRDefault="00A27D70" w:rsidP="00A27D70">
      <w:pPr>
        <w:pStyle w:val="ProductList-Body"/>
      </w:pPr>
      <w:r>
        <w:t>Se a Microsoft fornecer Consertos (Fixes) ao Cliente durante o Atendimento ao Cliente, esses Consertos (Fixes) serão licenciados de acordo com os</w:t>
      </w:r>
      <w:r w:rsidR="00175524">
        <w:t> </w:t>
      </w:r>
      <w:r>
        <w:t>termos de licença aplicáveis ao Produto ao qual se relacionam esses Consertos (Fixes), a menos que eles incluam termos separados que, nesse caso, prevalecerão. Se os Consertos (Fixes) forem fornecidos para os Serviços do Windows Azure, Microsoft Dynamics CRM Online, Microsoft Dynamics Marketing ou Microsoft Social Listening, qualquer outro termo de uso que a Microsoft fornecer com os Consertos (Fixes) deverá se aplicar, e, se nenhum termo de uso for fornecido, o Cliente deverá ter uma licença não exclusiva, temporária e paga integralmente para usar e</w:t>
      </w:r>
      <w:r w:rsidR="00175524">
        <w:t> </w:t>
      </w:r>
      <w:r>
        <w:t>reproduzir os Consertos (Fixes) exclusivamente para uso interno. O Cliente não pode modificar, alterar o nome do arquivo dos Consertos (Fixes) nem combinar nenhum Conserto (Fix) com código de computador que não seja da Microsoft.</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Trabalho Preexistente</w:t>
      </w:r>
    </w:p>
    <w:p w:rsidR="00A27D70" w:rsidRPr="00B810D0" w:rsidRDefault="00A27D70" w:rsidP="00A27D70">
      <w:pPr>
        <w:pStyle w:val="ProductList-Body"/>
      </w:pPr>
      <w:r>
        <w:t>Todos os direitos a qualquer código de computador ou materiais escritos não baseados em código desenvolvidos ou de outra forma obtidos pelas ou para as partes ou suas Afiliadas independentemente do contrato de licenciamento por volume do Cliente (Trabalho Preexistente) devem permanecer como propriedade exclusiva da parte que fornece o Trabalho Preexistente. Durante a prestação do Atendimento ao Cliente, cada uma das partes concede à outra (bem como aos prestadores de serviços da Microsoft, conforme necessário) uma licença temporária e não exclusiva para usar, reproduzir e modificar qualquer um de seus Trabalhos Preexistentes fornecidos à outra parte, unicamente conforme a necessidade para</w:t>
      </w:r>
      <w:r w:rsidR="000D5E8C">
        <w:t> </w:t>
      </w:r>
      <w:r>
        <w:t>cumprir suas obrigações relacionadas ao Atendimento ao Cliente. Salvo o expressamente acordado por escrito de outra forma entre as partes, mediante pagamento integral, a Microsoft concede ao Cliente uma licença não exclusiva, perpétua, paga integralmente para usar, reproduzir e</w:t>
      </w:r>
      <w:r w:rsidR="000D5E8C">
        <w:t> </w:t>
      </w:r>
      <w:r>
        <w:t>modificar (se for o caso) qualquer Trabalho Preexistente da Microsoft fornecido como parte de uma Entrega do Atendimento ao Cliente, exclusivamente na forma entregue ao Cliente e unicamente para seus fins comerciais internos. A licença para o Trabalho Preexistente da Microsoft está condicionada ao cumprimento dos termos do contrato de licenciamento por volume do Cliente. Se o estiver na República Tcheca, o Cliente declara que o autor concedeu as devidas aprovações para modificar seu trabalho preexistente. Qualquer violação cometida pelo Cliente às condições do respectivo contrato de licenciamento por volume ou qualquer outra declaração sobre o atendimento ao cliente de acordo com esse contrato será uma condição subsequente para a obtenção da licença perpétua do Trabalho Preexistente da Microsoft que esta entregar ao Cliente no término do Atendimento ao Cliente prestado pela Microsoft.</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Materiais</w:t>
      </w:r>
    </w:p>
    <w:p w:rsidR="00A27D70" w:rsidRPr="00B810D0" w:rsidRDefault="00A27D70" w:rsidP="00A27D70">
      <w:pPr>
        <w:pStyle w:val="ProductList-Body"/>
      </w:pPr>
      <w:r>
        <w:t>A Microsoft terá todos os direitos sobre os materiais desenvolvidos por ela (que não sejam código de software) e fornecidos ao Cliente durante a</w:t>
      </w:r>
      <w:r w:rsidR="000D5E8C">
        <w:t> </w:t>
      </w:r>
      <w:r>
        <w:t>prestação do Atendimento ao Cliente (</w:t>
      </w:r>
      <w:r w:rsidR="006573C2">
        <w:t>“</w:t>
      </w:r>
      <w:r>
        <w:t>Materiais</w:t>
      </w:r>
      <w:r w:rsidR="006573C2">
        <w:t>”</w:t>
      </w:r>
      <w:r>
        <w:t>), exceto na medida em que esses Materiais fizerem parte do Trabalho Preexistente do Cliente. A</w:t>
      </w:r>
      <w:r w:rsidR="000D5E8C">
        <w:t> </w:t>
      </w:r>
      <w:r>
        <w:t>Microsoft concede ao Cliente uma licença não exclusiva, perpétua e totalmente quitada para uso, reprodução e modificação dos Materiais somente para uso nas suas operações empresariais internas e sem obrigação de contabilidade nem pagamento de royalties.</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Código de Amostra</w:t>
      </w:r>
    </w:p>
    <w:p w:rsidR="00A27D70" w:rsidRPr="00B810D0" w:rsidRDefault="00A27D70" w:rsidP="00A27D70">
      <w:pPr>
        <w:pStyle w:val="ProductList-Body"/>
      </w:pPr>
      <w:r>
        <w:t>A Microsoft concede ao Cliente o direito não exclusivo, perpétuo e sem royalties de usar e modificar códigos de software fornecidos pela Microsoft para fins de esclarecimento (“Código de Amostra”) e reproduzir e distribuir o formato do código-objeto do Código de Amostra desde que o Cliente concorde em: (i) não usar o nome, o logotipo nem as marcas registradas da Microsoft para comercializar o produto de software do Cliente no qual o Código de Amostra estiver inserido; (ii) incluir uma notificação de direitos autorais no produto de software do Cliente no qual o Código de Amostra estiver inserido e (iii) indenizar, isentar de responsabilidade e defender a Microsoft e seus fornecedores de quaisquer requerimentos judiciais ou extrajudiciais ou ações judiciais, incluindo honorários advocatícios decorrentes do uso ou da distribuição do Código de Amostra.</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Direitos das Afiliadas</w:t>
      </w:r>
    </w:p>
    <w:p w:rsidR="00A27D70" w:rsidRPr="00B810D0" w:rsidRDefault="00A27D70" w:rsidP="00A27D70">
      <w:pPr>
        <w:pStyle w:val="ProductList-Body"/>
      </w:pPr>
      <w:r>
        <w:t>O Cliente poderá sublicenciar às Afiliadas os direitos contidos nesta seção, mas as Afiliadas não poderão sublicenciar esses direitos, e o uso feito deles por parte das Afiliadas deverá ser condizente com os termos de licença previstos no contrato de licenciamento por volume do Cliente.</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Garantia para Atendimento ao Cliente</w:t>
      </w:r>
    </w:p>
    <w:p w:rsidR="00D67A4B" w:rsidRPr="00B810D0" w:rsidRDefault="00A27D70" w:rsidP="00A27D70">
      <w:pPr>
        <w:pStyle w:val="ProductList-Body"/>
      </w:pPr>
      <w:r>
        <w:t>A Microsoft garante que todo o Atendimento ao Cliente será realizado com cuidado e qualificação profissionais.</w:t>
      </w:r>
    </w:p>
    <w:p w:rsidR="00D67A4B" w:rsidRPr="00B810D0" w:rsidRDefault="00D67A4B" w:rsidP="00A914BF">
      <w:pPr>
        <w:pStyle w:val="ProductList-Body"/>
      </w:pPr>
    </w:p>
    <w:p w:rsidR="00D67A4B" w:rsidRPr="00B810D0" w:rsidRDefault="00A27D70" w:rsidP="00233C87">
      <w:pPr>
        <w:pStyle w:val="ProductList-Offering1Heading"/>
        <w:outlineLvl w:val="1"/>
      </w:pPr>
      <w:bookmarkStart w:id="77" w:name="_Toc391645833"/>
      <w:r>
        <w:t>Notificação sobre o Padrão Visual H.264/AVC, o Padrão de Vídeo VC-1, o Padrão Visual MPEG-4 Parte 2 e o Padrão de Vídeo MPEG-2</w:t>
      </w:r>
      <w:bookmarkEnd w:id="77"/>
    </w:p>
    <w:p w:rsidR="00A27D70" w:rsidRPr="00B810D0" w:rsidRDefault="00A27D70" w:rsidP="00A27D70">
      <w:pPr>
        <w:pStyle w:val="ProductList-Body"/>
      </w:pPr>
      <w:r>
        <w:t>Este software pode incluir a tecnologia de compactação visual H.264/AVC, VC-1, MPEG-4 Part 2 e MPEG-2. MPEG LA, L.L.C. exige esta notificação:</w:t>
      </w:r>
    </w:p>
    <w:p w:rsidR="00A27D70" w:rsidRPr="00B810D0"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0" w:history="1">
        <w:r>
          <w:rPr>
            <w:rStyle w:val="Hyperlink"/>
          </w:rPr>
          <w:t>www.mpegla.com/index1.cfm</w:t>
        </w:r>
      </w:hyperlink>
      <w:r>
        <w:t xml:space="preserve">. </w:t>
      </w:r>
    </w:p>
    <w:p w:rsidR="00D67A4B" w:rsidRPr="00B810D0" w:rsidRDefault="00A27D70" w:rsidP="00A27D70">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rsidR="00D67A4B" w:rsidRPr="00B810D0" w:rsidRDefault="00D67A4B" w:rsidP="00A914BF">
      <w:pPr>
        <w:pStyle w:val="ProductList-Body"/>
      </w:pPr>
    </w:p>
    <w:p w:rsidR="00A27D70" w:rsidRPr="00B810D0" w:rsidRDefault="00A27D70" w:rsidP="00A914BF">
      <w:pPr>
        <w:pStyle w:val="ProductList-Body"/>
      </w:pPr>
    </w:p>
    <w:p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rsidR="00D67A4B" w:rsidRPr="00B810D0" w:rsidRDefault="000F30F7" w:rsidP="00233C87">
      <w:pPr>
        <w:pStyle w:val="ProductList-SectionHeading"/>
        <w:outlineLvl w:val="0"/>
      </w:pPr>
      <w:bookmarkStart w:id="78" w:name="Attachment2"/>
      <w:bookmarkStart w:id="79" w:name="_Toc391645834"/>
      <w:r>
        <w:t>Anexo 2 – Pacotes de Licenças de Assinatura</w:t>
      </w:r>
      <w:bookmarkEnd w:id="78"/>
      <w:bookmarkEnd w:id="79"/>
    </w:p>
    <w:p w:rsidR="007D0838" w:rsidRPr="00B810D0" w:rsidRDefault="000F30F7" w:rsidP="00A914BF">
      <w:pPr>
        <w:pStyle w:val="ProductList-Body"/>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p w:rsidR="007D0838" w:rsidRPr="00B810D0" w:rsidRDefault="007D0838" w:rsidP="00A914BF">
      <w:pPr>
        <w:pStyle w:val="ProductList-Body"/>
      </w:pPr>
    </w:p>
    <w:tbl>
      <w:tblPr>
        <w:tblW w:w="10646" w:type="dxa"/>
        <w:tblLayout w:type="fixed"/>
        <w:tblLook w:val="04A0" w:firstRow="1" w:lastRow="0" w:firstColumn="1" w:lastColumn="0" w:noHBand="0" w:noVBand="1"/>
      </w:tblPr>
      <w:tblGrid>
        <w:gridCol w:w="2610"/>
        <w:gridCol w:w="446"/>
        <w:gridCol w:w="446"/>
        <w:gridCol w:w="446"/>
        <w:gridCol w:w="448"/>
        <w:gridCol w:w="446"/>
        <w:gridCol w:w="446"/>
        <w:gridCol w:w="447"/>
        <w:gridCol w:w="446"/>
        <w:gridCol w:w="446"/>
        <w:gridCol w:w="447"/>
        <w:gridCol w:w="893"/>
        <w:gridCol w:w="893"/>
        <w:gridCol w:w="893"/>
        <w:gridCol w:w="893"/>
      </w:tblGrid>
      <w:tr w:rsidR="00EA7404" w:rsidRPr="00EA7404" w:rsidTr="00EA7404">
        <w:trPr>
          <w:cantSplit/>
          <w:trHeight w:val="333"/>
        </w:trPr>
        <w:tc>
          <w:tcPr>
            <w:tcW w:w="2610" w:type="dxa"/>
            <w:vMerge w:val="restart"/>
            <w:shd w:val="clear" w:color="auto" w:fill="auto"/>
            <w:vAlign w:val="bottom"/>
          </w:tcPr>
          <w:p w:rsidR="00EA7404" w:rsidRPr="00EA7404" w:rsidRDefault="00EA7404" w:rsidP="00EA7404">
            <w:pPr>
              <w:pStyle w:val="ProductList-Body"/>
              <w:ind w:left="-108"/>
              <w:rPr>
                <w:sz w:val="24"/>
                <w:szCs w:val="24"/>
              </w:rPr>
            </w:pPr>
            <w:r>
              <w:rPr>
                <w:sz w:val="24"/>
                <w:szCs w:val="24"/>
              </w:rPr>
              <w:t>Serviço Online</w:t>
            </w:r>
          </w:p>
        </w:tc>
        <w:tc>
          <w:tcPr>
            <w:tcW w:w="8036" w:type="dxa"/>
            <w:gridSpan w:val="14"/>
            <w:tcBorders>
              <w:bottom w:val="single" w:sz="12" w:space="0" w:color="FFFFFF" w:themeColor="background1"/>
            </w:tcBorders>
            <w:shd w:val="clear" w:color="auto" w:fill="0072C6"/>
          </w:tcPr>
          <w:p w:rsidR="00EA7404" w:rsidRPr="00EA7404" w:rsidRDefault="00EA7404" w:rsidP="00EA7404">
            <w:pPr>
              <w:pStyle w:val="ProductList-Body"/>
              <w:spacing w:before="20" w:after="20"/>
              <w:jc w:val="center"/>
              <w:rPr>
                <w:color w:val="FFFFFF" w:themeColor="background1"/>
                <w:sz w:val="24"/>
                <w:szCs w:val="24"/>
              </w:rPr>
            </w:pPr>
            <w:r>
              <w:rPr>
                <w:color w:val="FFFFFF" w:themeColor="background1"/>
                <w:sz w:val="24"/>
                <w:szCs w:val="24"/>
              </w:rPr>
              <w:t>SLs de Pacote</w:t>
            </w:r>
          </w:p>
        </w:tc>
      </w:tr>
      <w:tr w:rsidR="00EA7404" w:rsidRPr="00871B86" w:rsidTr="00EA7404">
        <w:trPr>
          <w:cantSplit/>
          <w:trHeight w:val="501"/>
        </w:trPr>
        <w:tc>
          <w:tcPr>
            <w:tcW w:w="2610" w:type="dxa"/>
            <w:vMerge/>
            <w:shd w:val="clear" w:color="auto" w:fill="auto"/>
            <w:vAlign w:val="bottom"/>
            <w:hideMark/>
          </w:tcPr>
          <w:p w:rsidR="00EA7404" w:rsidRPr="006D49E1" w:rsidRDefault="00EA7404" w:rsidP="006D49E1">
            <w:pPr>
              <w:pStyle w:val="ProductList-Body"/>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Enterprise</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Governo</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Education</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Small Business</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0D5E8C" w:rsidRDefault="00EA7404" w:rsidP="0067246B">
            <w:pPr>
              <w:pStyle w:val="ProductList-Body"/>
              <w:spacing w:before="20" w:after="20"/>
              <w:ind w:left="-115" w:right="-115"/>
              <w:jc w:val="center"/>
              <w:rPr>
                <w:szCs w:val="18"/>
              </w:rPr>
            </w:pPr>
            <w:r w:rsidRPr="000D5E8C">
              <w:rPr>
                <w:rFonts w:asciiTheme="majorHAnsi" w:hAnsiTheme="majorHAnsi"/>
                <w:color w:val="FFFFFF" w:themeColor="background1"/>
                <w:szCs w:val="18"/>
              </w:rPr>
              <w:t>Office 365</w:t>
            </w:r>
          </w:p>
          <w:p w:rsidR="00EA7404" w:rsidRPr="000D5E8C" w:rsidRDefault="00EA7404" w:rsidP="0067246B">
            <w:pPr>
              <w:pStyle w:val="ProductList-Body"/>
              <w:spacing w:before="20" w:after="20"/>
              <w:ind w:left="-115" w:right="-115"/>
              <w:jc w:val="center"/>
              <w:rPr>
                <w:szCs w:val="18"/>
              </w:rPr>
            </w:pPr>
            <w:r w:rsidRPr="000D5E8C">
              <w:rPr>
                <w:rFonts w:asciiTheme="majorHAnsi" w:hAnsiTheme="majorHAnsi"/>
                <w:color w:val="FFFFFF" w:themeColor="background1"/>
                <w:szCs w:val="18"/>
              </w:rPr>
              <w:t>Small Business</w:t>
            </w:r>
          </w:p>
          <w:p w:rsidR="00EA7404" w:rsidRPr="000D5E8C" w:rsidRDefault="00EA7404" w:rsidP="0067246B">
            <w:pPr>
              <w:pStyle w:val="ProductList-Body"/>
              <w:spacing w:before="20" w:after="20"/>
              <w:ind w:left="-115" w:right="-115"/>
              <w:jc w:val="center"/>
              <w:rPr>
                <w:rFonts w:asciiTheme="majorHAnsi" w:hAnsiTheme="majorHAnsi"/>
                <w:color w:val="FFFFFF" w:themeColor="background1"/>
                <w:szCs w:val="18"/>
              </w:rPr>
            </w:pPr>
            <w:r w:rsidRPr="000D5E8C">
              <w:rPr>
                <w:rFonts w:asciiTheme="majorHAnsi" w:hAnsiTheme="majorHAnsi"/>
                <w:color w:val="FFFFFF" w:themeColor="background1"/>
                <w:szCs w:val="18"/>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01151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Midsize Business</w:t>
            </w:r>
          </w:p>
        </w:tc>
        <w:tc>
          <w:tcPr>
            <w:tcW w:w="893" w:type="dxa"/>
            <w:vMerge w:val="restart"/>
            <w:tcBorders>
              <w:top w:val="single" w:sz="12" w:space="0" w:color="FFFFFF" w:themeColor="background1"/>
              <w:lef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Enterprise</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Mobility Suite</w:t>
            </w:r>
          </w:p>
        </w:tc>
      </w:tr>
      <w:tr w:rsidR="00EA7404" w:rsidRPr="00871B86" w:rsidTr="00AE69BA">
        <w:trPr>
          <w:cantSplit/>
          <w:trHeight w:val="288"/>
        </w:trPr>
        <w:tc>
          <w:tcPr>
            <w:tcW w:w="2610" w:type="dxa"/>
            <w:vMerge/>
            <w:tcBorders>
              <w:bottom w:val="dashSmallGap" w:sz="4" w:space="0" w:color="808080" w:themeColor="background1" w:themeShade="80"/>
            </w:tcBorders>
            <w:shd w:val="clear" w:color="auto" w:fill="auto"/>
            <w:vAlign w:val="bottom"/>
          </w:tcPr>
          <w:p w:rsidR="00EA7404" w:rsidRPr="00871B86" w:rsidRDefault="00EA7404" w:rsidP="0072631D">
            <w:pPr>
              <w:pStyle w:val="ProductList-Body"/>
              <w:rPr>
                <w:rFonts w:asciiTheme="majorHAnsi" w:hAnsiTheme="majorHAnsi"/>
                <w:szCs w:val="18"/>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c>
          <w:tcPr>
            <w:tcW w:w="893" w:type="dxa"/>
            <w:vMerge/>
            <w:tcBorders>
              <w:left w:val="single" w:sz="12" w:space="0" w:color="FFFFFF" w:themeColor="background1"/>
              <w:bottom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r>
      <w:tr w:rsidR="0072631D" w:rsidRPr="00871B86" w:rsidTr="007A1689">
        <w:trPr>
          <w:trHeight w:val="288"/>
        </w:trPr>
        <w:tc>
          <w:tcPr>
            <w:tcW w:w="2610"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Quiosque do 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Plano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Plano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Quiosque do 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 Plano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 Plano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72631D" w:rsidRPr="00871B86"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 Plano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Lync Online Plano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01151B">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5B7124" w:rsidP="0072631D">
            <w:pPr>
              <w:pStyle w:val="ProductList-Body"/>
              <w:ind w:left="-108"/>
              <w:rPr>
                <w:rFonts w:asciiTheme="majorHAnsi" w:hAnsiTheme="majorHAnsi"/>
                <w:szCs w:val="18"/>
              </w:rPr>
            </w:pPr>
            <w:r>
              <w:rPr>
                <w:rFonts w:asciiTheme="majorHAnsi" w:hAnsiTheme="majorHAnsi"/>
                <w:szCs w:val="18"/>
              </w:rPr>
              <w:t>Microsoft Rights Management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bl>
    <w:p w:rsidR="00D67A4B" w:rsidRDefault="00D67A4B" w:rsidP="00A914BF">
      <w:pPr>
        <w:pStyle w:val="ProductList-Body"/>
      </w:pPr>
    </w:p>
    <w:p w:rsidR="0001151B" w:rsidRPr="00B810D0" w:rsidRDefault="0001151B" w:rsidP="00A914BF">
      <w:pPr>
        <w:pStyle w:val="ProductList-Body"/>
      </w:pPr>
      <w:r w:rsidRPr="0001151B">
        <w:t xml:space="preserve">Complemento Suite SLs que incluem "sem </w:t>
      </w:r>
      <w:r>
        <w:t>ProPlus</w:t>
      </w:r>
      <w:r w:rsidRPr="0001151B">
        <w:t xml:space="preserve">" no título não incluem direitos de </w:t>
      </w:r>
      <w:r>
        <w:t xml:space="preserve">Office </w:t>
      </w:r>
      <w:r w:rsidRPr="0001151B">
        <w:t>365</w:t>
      </w:r>
      <w:r>
        <w:t xml:space="preserve"> ProPlus</w:t>
      </w:r>
      <w:r w:rsidRPr="0001151B">
        <w:t>.</w:t>
      </w:r>
    </w:p>
    <w:p w:rsidR="00D67A4B" w:rsidRPr="00B810D0"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B810D0" w:rsidRDefault="00232755" w:rsidP="00233C87">
      <w:pPr>
        <w:pStyle w:val="ProductList-SectionHeading"/>
        <w:outlineLvl w:val="0"/>
      </w:pPr>
      <w:bookmarkStart w:id="80" w:name="Attachment3"/>
      <w:bookmarkStart w:id="81" w:name="_Toc391645835"/>
      <w:r>
        <w:t>Anexo 3 – As Cláusulas Contratuais Padrão (Processadores)</w:t>
      </w:r>
      <w:bookmarkEnd w:id="80"/>
      <w:bookmarkEnd w:id="81"/>
    </w:p>
    <w:p w:rsidR="00232755" w:rsidRPr="00B810D0" w:rsidRDefault="00232755" w:rsidP="00232755">
      <w:pPr>
        <w:pStyle w:val="ProductList-Body"/>
      </w:pPr>
      <w: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w:t>
      </w:r>
      <w:r w:rsidR="002C0574">
        <w:t> </w:t>
      </w:r>
      <w:r>
        <w:t>à privacidade e liberdade de indivíduos para a transferência realizada pelo exportador ao importador dos dados pessoais especificados no Apêndice 1.</w:t>
      </w:r>
    </w:p>
    <w:p w:rsidR="00232755" w:rsidRPr="00B810D0" w:rsidRDefault="00232755" w:rsidP="00232755">
      <w:pPr>
        <w:pStyle w:val="ProductList-Body"/>
      </w:pPr>
    </w:p>
    <w:p w:rsidR="00232755" w:rsidRPr="00B810D0" w:rsidRDefault="00232755" w:rsidP="00233C87">
      <w:pPr>
        <w:pStyle w:val="ProductList-Body"/>
        <w:jc w:val="center"/>
        <w:outlineLvl w:val="1"/>
      </w:pPr>
      <w:r>
        <w:rPr>
          <w:b/>
        </w:rPr>
        <w:t>Cláusula 1: Definições</w:t>
      </w:r>
    </w:p>
    <w:p w:rsidR="00232755" w:rsidRPr="00B810D0" w:rsidRDefault="00232755" w:rsidP="00232755">
      <w:pPr>
        <w:pStyle w:val="ProductList-Body"/>
      </w:pPr>
    </w:p>
    <w:p w:rsidR="00232755" w:rsidRPr="00B810D0" w:rsidRDefault="00232755" w:rsidP="00232755">
      <w:pPr>
        <w:pStyle w:val="ProductList-Body"/>
        <w:spacing w:after="120"/>
      </w:pPr>
      <w:r>
        <w:t xml:space="preserve">(a) </w:t>
      </w:r>
      <w:r w:rsidR="000D5E8C">
        <w:t>“</w:t>
      </w:r>
      <w:r>
        <w:t>dados pessoais</w:t>
      </w:r>
      <w:r w:rsidR="000D5E8C">
        <w:t>”</w:t>
      </w:r>
      <w:r>
        <w:t xml:space="preserve">, </w:t>
      </w:r>
      <w:r w:rsidR="000D5E8C">
        <w:t>“</w:t>
      </w:r>
      <w:r>
        <w:t>categorias especiais de dados</w:t>
      </w:r>
      <w:r w:rsidR="000D5E8C">
        <w:t>”</w:t>
      </w:r>
      <w:r>
        <w:t xml:space="preserve">, </w:t>
      </w:r>
      <w:r w:rsidR="000D5E8C">
        <w:t>“</w:t>
      </w:r>
      <w:r>
        <w:t>processar/processamento</w:t>
      </w:r>
      <w:r w:rsidR="000D5E8C">
        <w:t>”</w:t>
      </w:r>
      <w:r>
        <w:t xml:space="preserve">, </w:t>
      </w:r>
      <w:r w:rsidR="000D5E8C">
        <w:t>“</w:t>
      </w:r>
      <w:r>
        <w:t>controlador</w:t>
      </w:r>
      <w:r w:rsidR="000D5E8C">
        <w:t>”</w:t>
      </w:r>
      <w:r>
        <w:t xml:space="preserve">, </w:t>
      </w:r>
      <w:r w:rsidR="000D5E8C">
        <w:t>“</w:t>
      </w:r>
      <w:r>
        <w:t>processador</w:t>
      </w:r>
      <w:r w:rsidR="000D5E8C">
        <w:t>”</w:t>
      </w:r>
      <w:r>
        <w:t xml:space="preserve">, </w:t>
      </w:r>
      <w:r w:rsidR="000D5E8C">
        <w:t>“</w:t>
      </w:r>
      <w:r>
        <w:t>titular dos dados</w:t>
      </w:r>
      <w:r w:rsidR="000D5E8C">
        <w:t>”</w:t>
      </w:r>
      <w:r>
        <w:t xml:space="preserve"> e </w:t>
      </w:r>
      <w:r w:rsidR="000D5E8C">
        <w:t>“</w:t>
      </w:r>
      <w:r>
        <w:t>autoridade de</w:t>
      </w:r>
      <w:r w:rsidR="002C0574">
        <w:t> </w:t>
      </w:r>
      <w:r>
        <w:t>supervisão</w:t>
      </w:r>
      <w:r w:rsidR="000D5E8C">
        <w:t>”</w:t>
      </w:r>
      <w:r>
        <w:t xml:space="preserve"> deverão ter os mesmos significados da Diretiva 95/46/EC do Parlamento Europeu e do Conselho de 24 de outubro de 1995 sobre a</w:t>
      </w:r>
      <w:r w:rsidR="002C0574">
        <w:t> </w:t>
      </w:r>
      <w:r>
        <w:t xml:space="preserve">proteção de indivíduos em relação ao processamento de dados pessoais e sobre a livre movimentação de tais dados; </w:t>
      </w:r>
    </w:p>
    <w:p w:rsidR="00232755" w:rsidRPr="00B810D0" w:rsidRDefault="00232755" w:rsidP="00232755">
      <w:pPr>
        <w:pStyle w:val="ProductList-Body"/>
        <w:spacing w:after="120"/>
      </w:pPr>
      <w:r>
        <w:t xml:space="preserve">(b) </w:t>
      </w:r>
      <w:r w:rsidR="000D5E8C">
        <w:t>“</w:t>
      </w:r>
      <w:r>
        <w:t>exportador de dados</w:t>
      </w:r>
      <w:r w:rsidR="000D5E8C">
        <w:t>”</w:t>
      </w:r>
      <w:r>
        <w:t xml:space="preserve"> significa o controlador que transfere os dados pessoais; </w:t>
      </w:r>
    </w:p>
    <w:p w:rsidR="00232755" w:rsidRPr="00B810D0" w:rsidRDefault="00232755" w:rsidP="00232755">
      <w:pPr>
        <w:pStyle w:val="ProductList-Body"/>
        <w:spacing w:after="120"/>
      </w:pPr>
      <w:r>
        <w:t xml:space="preserve">(c) </w:t>
      </w:r>
      <w:r w:rsidR="000D5E8C">
        <w:t>“</w:t>
      </w:r>
      <w:r>
        <w:t>importador de dados</w:t>
      </w:r>
      <w:r w:rsidR="000D5E8C">
        <w:t>”</w:t>
      </w:r>
      <w:r>
        <w:t xml:space="preserve"> significa o processador que concorda em receber do exportador dados pessoais destinados para processamento em seu</w:t>
      </w:r>
      <w:r w:rsidR="002C0574">
        <w:t> </w:t>
      </w:r>
      <w:r>
        <w:t xml:space="preserve">nome depois da transferência de acordo com suas instruções e os termos das Cláusulas e que não está sujeito a um sistema de país terceiro, garantindo a proteção adequada com o significado do Artigo 25(1) da Diretiva 95/46/EC; </w:t>
      </w:r>
    </w:p>
    <w:p w:rsidR="00232755" w:rsidRPr="00B810D0" w:rsidRDefault="00232755" w:rsidP="00232755">
      <w:pPr>
        <w:pStyle w:val="ProductList-Body"/>
        <w:spacing w:after="120"/>
      </w:pPr>
      <w:r>
        <w:t>(</w:t>
      </w:r>
      <w:r w:rsidR="006D3B26">
        <w:t>d</w:t>
      </w:r>
      <w:r>
        <w:t xml:space="preserve">) </w:t>
      </w:r>
      <w:r w:rsidR="000D5E8C">
        <w:t>“</w:t>
      </w:r>
      <w:r>
        <w:t>subprocessador</w:t>
      </w:r>
      <w:r w:rsidR="000D5E8C">
        <w:t>”</w:t>
      </w:r>
      <w:r>
        <w:t xml:space="preserve"> significa qualquer processador empregado pelo importador de dados ou por qualquer outro subprocessador do importador de</w:t>
      </w:r>
      <w:r w:rsidR="002C0574">
        <w:t> </w:t>
      </w:r>
      <w:r>
        <w:t xml:space="preserve">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rsidR="00232755" w:rsidRPr="00B810D0" w:rsidRDefault="00232755" w:rsidP="00232755">
      <w:pPr>
        <w:pStyle w:val="ProductList-Body"/>
        <w:spacing w:after="120"/>
      </w:pPr>
      <w:r>
        <w:t xml:space="preserve">(e) </w:t>
      </w:r>
      <w:r w:rsidR="000D5E8C">
        <w:t>“</w:t>
      </w:r>
      <w:r>
        <w:t>lei de proteção de dados aplicável</w:t>
      </w:r>
      <w:r w:rsidR="00745926">
        <w:t>”</w:t>
      </w:r>
      <w:r>
        <w:t xml:space="preserve"> significa a legislação que protege os direitos fundamentais e a liberdade do indivíduo e, especialmente, seu</w:t>
      </w:r>
      <w:r w:rsidR="002C0574">
        <w:t> </w:t>
      </w:r>
      <w:r>
        <w:t>direito à privacidade com relação ao processamento de dados pessoais aplicáveis a um controlador de dados no Estado Membro no qual o</w:t>
      </w:r>
      <w:r w:rsidR="002C0574">
        <w:t> </w:t>
      </w:r>
      <w:r>
        <w:t xml:space="preserve">exportador de dados está estabelecido; </w:t>
      </w:r>
    </w:p>
    <w:p w:rsidR="00232755" w:rsidRPr="00B810D0" w:rsidRDefault="00232755" w:rsidP="00232755">
      <w:pPr>
        <w:pStyle w:val="ProductList-Body"/>
      </w:pPr>
      <w:r>
        <w:t xml:space="preserve">(f) </w:t>
      </w:r>
      <w:r w:rsidR="000D5E8C">
        <w:t>“</w:t>
      </w:r>
      <w:r>
        <w:t>medidas de segurança técnicas e organizacionais</w:t>
      </w:r>
      <w:r w:rsidR="000D5E8C">
        <w:t>”</w:t>
      </w:r>
      <w:r>
        <w:t xml:space="preserve">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rsidR="00232755" w:rsidRPr="00B810D0" w:rsidRDefault="00232755" w:rsidP="00232755">
      <w:pPr>
        <w:pStyle w:val="ProductList-Body"/>
      </w:pPr>
    </w:p>
    <w:p w:rsidR="00232755" w:rsidRPr="00B810D0" w:rsidRDefault="00232755" w:rsidP="00233C87">
      <w:pPr>
        <w:pStyle w:val="ProductList-Body"/>
        <w:jc w:val="center"/>
        <w:outlineLvl w:val="1"/>
      </w:pPr>
      <w:r>
        <w:rPr>
          <w:b/>
        </w:rPr>
        <w:t>Cláusula 2: Detalhes da transferência</w:t>
      </w:r>
    </w:p>
    <w:p w:rsidR="00232755" w:rsidRPr="00B810D0" w:rsidRDefault="00232755" w:rsidP="00232755">
      <w:pPr>
        <w:pStyle w:val="ProductList-Body"/>
      </w:pPr>
    </w:p>
    <w:p w:rsidR="00232755" w:rsidRPr="00B810D0" w:rsidRDefault="00232755" w:rsidP="00232755">
      <w:pPr>
        <w:pStyle w:val="ProductList-Body"/>
      </w:pPr>
      <w:r>
        <w:t>Os detalhes da transferência e em particular as categorias especiais de dados pessoais, onde aplicável, são especificadas no Apêndice 1 abaixo.</w:t>
      </w:r>
    </w:p>
    <w:p w:rsidR="00232755" w:rsidRPr="00B810D0" w:rsidRDefault="00232755" w:rsidP="00A914BF">
      <w:pPr>
        <w:pStyle w:val="ProductList-Body"/>
      </w:pPr>
    </w:p>
    <w:p w:rsidR="00232755" w:rsidRPr="00B810D0" w:rsidRDefault="00232755" w:rsidP="00233C87">
      <w:pPr>
        <w:pStyle w:val="ProductList-Body"/>
        <w:jc w:val="center"/>
        <w:outlineLvl w:val="1"/>
      </w:pPr>
      <w:r>
        <w:rPr>
          <w:b/>
        </w:rPr>
        <w:t>Cláusula 3: Cláusula de terceiro beneficiário</w:t>
      </w:r>
    </w:p>
    <w:p w:rsidR="00232755" w:rsidRPr="00B810D0" w:rsidRDefault="00232755" w:rsidP="00232755">
      <w:pPr>
        <w:pStyle w:val="ProductList-Body"/>
      </w:pPr>
    </w:p>
    <w:p w:rsidR="00232755" w:rsidRPr="00B810D0"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rsidR="00232755" w:rsidRPr="00B810D0"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rsidR="00232755" w:rsidRPr="00B810D0"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rsidR="00232755" w:rsidRPr="00B810D0"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rsidR="00D67A4B" w:rsidRPr="00B810D0" w:rsidRDefault="00D67A4B" w:rsidP="00A914BF">
      <w:pPr>
        <w:pStyle w:val="ProductList-Body"/>
      </w:pPr>
    </w:p>
    <w:p w:rsidR="000B2305" w:rsidRPr="00B810D0" w:rsidRDefault="000B2305">
      <w:r>
        <w:rPr>
          <w:b/>
        </w:rPr>
        <w:br w:type="page"/>
      </w:r>
    </w:p>
    <w:p w:rsidR="00232755" w:rsidRPr="00B810D0" w:rsidRDefault="00232755" w:rsidP="00233C87">
      <w:pPr>
        <w:pStyle w:val="ProductList-Body"/>
        <w:jc w:val="center"/>
        <w:outlineLvl w:val="1"/>
      </w:pPr>
      <w:r>
        <w:rPr>
          <w:b/>
        </w:rPr>
        <w:t>Cláusula 4: Obrigações do exportador de dados</w:t>
      </w:r>
    </w:p>
    <w:p w:rsidR="00232755" w:rsidRPr="00B810D0" w:rsidRDefault="00232755" w:rsidP="00232755">
      <w:pPr>
        <w:pStyle w:val="ProductList-Body"/>
      </w:pPr>
    </w:p>
    <w:p w:rsidR="00232755" w:rsidRPr="00B810D0" w:rsidRDefault="00232755" w:rsidP="00232755">
      <w:pPr>
        <w:pStyle w:val="ProductList-Body"/>
      </w:pPr>
      <w:r>
        <w:t xml:space="preserve">O exportador de dados concorda e garante: </w:t>
      </w:r>
    </w:p>
    <w:p w:rsidR="00232755" w:rsidRPr="00B810D0" w:rsidRDefault="00232755" w:rsidP="00232755">
      <w:pPr>
        <w:pStyle w:val="ProductList-Body"/>
      </w:pPr>
    </w:p>
    <w:p w:rsidR="00232755" w:rsidRPr="00B810D0"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rsidR="00232755" w:rsidRPr="00B810D0"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rsidR="00232755" w:rsidRPr="00B810D0"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rsidR="00232755" w:rsidRPr="00B810D0"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rsidR="00232755" w:rsidRPr="00B810D0" w:rsidRDefault="00232755" w:rsidP="00232755">
      <w:pPr>
        <w:pStyle w:val="ProductList-Body"/>
        <w:spacing w:after="120"/>
      </w:pPr>
      <w:r>
        <w:t xml:space="preserve">(e) que garantirá a conformidade com as medidas de segurança; </w:t>
      </w:r>
    </w:p>
    <w:p w:rsidR="00232755" w:rsidRPr="00B810D0"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rsidR="00232755" w:rsidRPr="00B810D0"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rsidR="00232755" w:rsidRPr="00B810D0"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rsidR="00232755" w:rsidRPr="00B810D0"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rsidR="00D67A4B" w:rsidRPr="00B810D0" w:rsidRDefault="00232755" w:rsidP="00232755">
      <w:pPr>
        <w:pStyle w:val="ProductList-Body"/>
      </w:pPr>
      <w:r>
        <w:t>(j) que garantirá a conformidade com as Cláusulas 4(a) até (i).</w:t>
      </w:r>
    </w:p>
    <w:p w:rsidR="00D67A4B" w:rsidRPr="00B810D0" w:rsidRDefault="00D67A4B" w:rsidP="00A914BF">
      <w:pPr>
        <w:pStyle w:val="ProductList-Body"/>
      </w:pPr>
    </w:p>
    <w:p w:rsidR="00E83159" w:rsidRPr="00B810D0" w:rsidRDefault="00E83159" w:rsidP="00233C87">
      <w:pPr>
        <w:pStyle w:val="ProductList-Body"/>
        <w:jc w:val="center"/>
        <w:outlineLvl w:val="1"/>
      </w:pPr>
      <w:r>
        <w:rPr>
          <w:b/>
        </w:rPr>
        <w:t>Cláusula 5: Obrigações do importador de dados</w:t>
      </w:r>
    </w:p>
    <w:p w:rsidR="00E83159" w:rsidRPr="00B810D0" w:rsidRDefault="00E83159" w:rsidP="00E83159">
      <w:pPr>
        <w:pStyle w:val="ProductList-Body"/>
      </w:pPr>
    </w:p>
    <w:p w:rsidR="00E83159" w:rsidRPr="00B810D0" w:rsidRDefault="00E83159" w:rsidP="00E83159">
      <w:pPr>
        <w:pStyle w:val="ProductList-Body"/>
      </w:pPr>
      <w:r>
        <w:t xml:space="preserve">O importador de dados concorda e garante: </w:t>
      </w:r>
    </w:p>
    <w:p w:rsidR="00E83159" w:rsidRPr="00B810D0" w:rsidRDefault="00E83159" w:rsidP="00E83159">
      <w:pPr>
        <w:pStyle w:val="ProductList-Body"/>
      </w:pPr>
    </w:p>
    <w:p w:rsidR="00E83159" w:rsidRPr="00B810D0"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rsidR="00E83159" w:rsidRPr="00B810D0"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rsidR="00E83159" w:rsidRPr="00B810D0"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rsidR="00E83159" w:rsidRPr="00B810D0" w:rsidRDefault="00E83159" w:rsidP="00E83159">
      <w:pPr>
        <w:pStyle w:val="ProductList-Body"/>
      </w:pPr>
      <w:r>
        <w:t xml:space="preserve">(d) que ele notificará imediatamente o exportador de dados sobre: </w:t>
      </w:r>
    </w:p>
    <w:p w:rsidR="00E83159" w:rsidRPr="00B810D0"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rsidR="00E83159" w:rsidRPr="00B810D0" w:rsidRDefault="00E83159" w:rsidP="00E83159">
      <w:pPr>
        <w:pStyle w:val="ProductList-Body"/>
        <w:spacing w:after="60"/>
        <w:ind w:left="360"/>
      </w:pPr>
      <w:r>
        <w:t xml:space="preserve">(ii) qualquer acesso acidental ou não autorizado e </w:t>
      </w:r>
    </w:p>
    <w:p w:rsidR="00E83159" w:rsidRPr="00B810D0"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rsidR="00E83159" w:rsidRPr="00B810D0"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rsidR="00E83159" w:rsidRPr="00B810D0" w:rsidRDefault="00E83159" w:rsidP="00E83159">
      <w:pPr>
        <w:pStyle w:val="ProductList-Body"/>
        <w:spacing w:after="120"/>
      </w:pPr>
      <w:r>
        <w:t>(f)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w:t>
      </w:r>
      <w:r w:rsidR="002C0574">
        <w:t> </w:t>
      </w:r>
      <w:r>
        <w:t xml:space="preserve">exportador de dados, onde aplicável, no contrato com a autoridade de supervisão; </w:t>
      </w:r>
    </w:p>
    <w:p w:rsidR="00E83159" w:rsidRPr="00B810D0" w:rsidRDefault="00E83159" w:rsidP="00E83159">
      <w:pPr>
        <w:pStyle w:val="ProductList-Body"/>
        <w:spacing w:after="120"/>
      </w:pPr>
      <w:r>
        <w:t>(g) disponibilizar ao titular dos dados mediante solicitação uma cópia das Cláusulas ou de qualquer contrato de subprocessamento a menos que as</w:t>
      </w:r>
      <w:r w:rsidR="002C0574">
        <w:t> </w:t>
      </w:r>
      <w:r>
        <w:t xml:space="preserve">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rsidR="00E83159" w:rsidRPr="00B810D0" w:rsidRDefault="00E83159" w:rsidP="00E83159">
      <w:pPr>
        <w:pStyle w:val="ProductList-Body"/>
        <w:spacing w:after="120"/>
      </w:pPr>
      <w:r>
        <w:t xml:space="preserve">(h) que, no caso de subprocessamento, ele informou previamente o exportador de dados e obteve sua autorização prévia por escrito; </w:t>
      </w:r>
    </w:p>
    <w:p w:rsidR="00E83159" w:rsidRPr="00B810D0" w:rsidRDefault="00E83159" w:rsidP="00E83159">
      <w:pPr>
        <w:pStyle w:val="ProductList-Body"/>
        <w:spacing w:after="120"/>
      </w:pPr>
      <w:r>
        <w:t>(i) que os serviços de processamento pelo subprocessador serão realizados de acordo com a Cláusula 11 e</w:t>
      </w:r>
    </w:p>
    <w:p w:rsidR="00D67A4B" w:rsidRPr="00B810D0" w:rsidRDefault="00E83159" w:rsidP="00E83159">
      <w:pPr>
        <w:pStyle w:val="ProductList-Body"/>
      </w:pPr>
      <w:r>
        <w:t>(j) enviar imediatamente ao exportador de dados uma cópia de qualquer contrato do subprocessador indicando as conclusões.</w:t>
      </w:r>
    </w:p>
    <w:p w:rsidR="00E83159" w:rsidRPr="00B810D0" w:rsidRDefault="00E83159" w:rsidP="00A914BF">
      <w:pPr>
        <w:pStyle w:val="ProductList-Body"/>
      </w:pPr>
    </w:p>
    <w:p w:rsidR="00E83159" w:rsidRPr="00B810D0" w:rsidRDefault="00E83159" w:rsidP="00233C87">
      <w:pPr>
        <w:pStyle w:val="ProductList-Body"/>
        <w:jc w:val="center"/>
        <w:outlineLvl w:val="1"/>
      </w:pPr>
      <w:r>
        <w:rPr>
          <w:b/>
        </w:rPr>
        <w:t>Cláusula 6: Responsabilidade</w:t>
      </w:r>
    </w:p>
    <w:p w:rsidR="00E83159" w:rsidRPr="00B810D0" w:rsidRDefault="00E83159" w:rsidP="00E83159">
      <w:pPr>
        <w:pStyle w:val="ProductList-Body"/>
      </w:pPr>
    </w:p>
    <w:p w:rsidR="00E83159" w:rsidRPr="00B810D0"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rsidR="00E83159" w:rsidRPr="00B810D0"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rsidR="00E83159" w:rsidRPr="00B810D0"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rsidR="00E83159" w:rsidRPr="00B810D0" w:rsidRDefault="00E83159" w:rsidP="00E83159">
      <w:pPr>
        <w:pStyle w:val="ProductList-Body"/>
      </w:pPr>
      <w:r>
        <w:t>3. Se o titular dos dados não puder ingressar um requerimento judicial ou extrajudicial contra o exportador de dados ou importador de dados com</w:t>
      </w:r>
      <w:r w:rsidR="002C0574">
        <w:t> </w:t>
      </w:r>
      <w:r>
        <w:t>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w:t>
      </w:r>
      <w:r w:rsidR="002C0574">
        <w:t> </w:t>
      </w:r>
      <w:r>
        <w:t>tornaram insolventes, o subprocessador concorda que o titular dos dados poderá ingressar um requerimento judicial ou extrajudicial contra o</w:t>
      </w:r>
      <w:r w:rsidR="002C0574">
        <w:t> </w:t>
      </w:r>
      <w:r>
        <w:t xml:space="preserve">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Cláusula 7: Mediação e jurisdição</w:t>
      </w:r>
    </w:p>
    <w:p w:rsidR="00E83159" w:rsidRPr="00B810D0" w:rsidRDefault="00E83159" w:rsidP="00E83159">
      <w:pPr>
        <w:pStyle w:val="ProductList-Body"/>
      </w:pPr>
    </w:p>
    <w:p w:rsidR="00E83159" w:rsidRPr="00B810D0"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rsidR="00E83159" w:rsidRPr="00B810D0" w:rsidRDefault="00E83159" w:rsidP="00E83159">
      <w:pPr>
        <w:pStyle w:val="ProductList-Body"/>
        <w:spacing w:after="60"/>
        <w:ind w:left="360"/>
      </w:pPr>
      <w:r>
        <w:t xml:space="preserve">(a) enviar a disputa para mediação, por uma pessoa independente ou, onde aplicável, pela autoridade de supervisão; </w:t>
      </w:r>
    </w:p>
    <w:p w:rsidR="00E83159" w:rsidRPr="00B810D0" w:rsidRDefault="00E83159" w:rsidP="00E83159">
      <w:pPr>
        <w:pStyle w:val="ProductList-Body"/>
        <w:spacing w:after="120"/>
        <w:ind w:left="360"/>
      </w:pPr>
      <w:r>
        <w:t xml:space="preserve">(b) enviar a disputa aos tribunais no Estado Membro no qual o exportador de dados está sediado. </w:t>
      </w:r>
    </w:p>
    <w:p w:rsidR="00E83159" w:rsidRPr="00B810D0"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Cláusula 8: Cooperação com autoridades de supervisão</w:t>
      </w:r>
    </w:p>
    <w:p w:rsidR="00E83159" w:rsidRPr="00B810D0" w:rsidRDefault="00E83159" w:rsidP="00E83159">
      <w:pPr>
        <w:pStyle w:val="ProductList-Body"/>
      </w:pPr>
    </w:p>
    <w:p w:rsidR="00E83159" w:rsidRPr="00B810D0"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rsidR="00E83159" w:rsidRPr="00B810D0"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rsidR="00E83159" w:rsidRPr="00B810D0"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Cláusula 9: Legislação Reguladora.</w:t>
      </w:r>
    </w:p>
    <w:p w:rsidR="00E83159" w:rsidRPr="00B810D0" w:rsidRDefault="00E83159" w:rsidP="00E83159">
      <w:pPr>
        <w:pStyle w:val="ProductList-Body"/>
      </w:pPr>
    </w:p>
    <w:p w:rsidR="00E83159" w:rsidRPr="00B810D0" w:rsidRDefault="00E83159" w:rsidP="00E83159">
      <w:pPr>
        <w:pStyle w:val="ProductList-Body"/>
      </w:pPr>
      <w:r>
        <w:t xml:space="preserve">As Cláusulas deverão ser regidas pela lei do Estado Membro no qual o exportador de dados está sediado.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Cláusula 10: Variação do contrato</w:t>
      </w:r>
    </w:p>
    <w:p w:rsidR="00E83159" w:rsidRPr="00B810D0" w:rsidRDefault="00E83159" w:rsidP="00E83159">
      <w:pPr>
        <w:pStyle w:val="ProductList-Body"/>
      </w:pPr>
    </w:p>
    <w:p w:rsidR="00E83159" w:rsidRPr="00B810D0"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Cláusula 11: Subprocessamento</w:t>
      </w:r>
    </w:p>
    <w:p w:rsidR="00E83159" w:rsidRPr="00B810D0" w:rsidRDefault="00E83159" w:rsidP="00E83159">
      <w:pPr>
        <w:pStyle w:val="ProductList-Body"/>
      </w:pPr>
    </w:p>
    <w:p w:rsidR="00E83159" w:rsidRPr="00B810D0"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rsidR="00E83159" w:rsidRPr="00B810D0"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rsidR="00E83159" w:rsidRPr="00B810D0"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rsidR="00E83159" w:rsidRPr="00B810D0"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Cláusula 12: Obrigação depois do término dos serviços de processamento de dados pessoais</w:t>
      </w:r>
    </w:p>
    <w:p w:rsidR="00E83159" w:rsidRPr="00B810D0" w:rsidRDefault="00E83159" w:rsidP="00E83159">
      <w:pPr>
        <w:pStyle w:val="ProductList-Body"/>
      </w:pPr>
    </w:p>
    <w:p w:rsidR="00E83159" w:rsidRPr="00B810D0"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rsidR="00E83159" w:rsidRPr="00B810D0"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rsidR="00E83159" w:rsidRPr="00B810D0" w:rsidRDefault="00E83159" w:rsidP="00A914BF">
      <w:pPr>
        <w:pStyle w:val="ProductList-Body"/>
      </w:pPr>
    </w:p>
    <w:p w:rsidR="00E83159" w:rsidRPr="00B810D0" w:rsidRDefault="00E83159" w:rsidP="00233C87">
      <w:pPr>
        <w:pStyle w:val="ProductList-Body"/>
        <w:jc w:val="center"/>
        <w:outlineLvl w:val="1"/>
      </w:pPr>
      <w:r>
        <w:rPr>
          <w:b/>
        </w:rPr>
        <w:t>Apêndice 1 às Cláusulas Contratuais Padrão</w:t>
      </w:r>
    </w:p>
    <w:p w:rsidR="00E83159" w:rsidRPr="00B810D0" w:rsidRDefault="00E83159" w:rsidP="00E83159">
      <w:pPr>
        <w:pStyle w:val="ProductList-Body"/>
      </w:pPr>
    </w:p>
    <w:p w:rsidR="00E83159" w:rsidRPr="00B810D0" w:rsidRDefault="00E83159" w:rsidP="00E83159">
      <w:pPr>
        <w:pStyle w:val="ProductList-Body"/>
        <w:spacing w:after="120"/>
      </w:pPr>
      <w:r>
        <w:rPr>
          <w:b/>
        </w:rPr>
        <w:t>Exportador de dados</w:t>
      </w:r>
      <w:r w:rsidRPr="009B1B48">
        <w:rPr>
          <w:b/>
        </w:rPr>
        <w:t>:</w:t>
      </w:r>
      <w:r>
        <w:t xml:space="preserve"> O Cliente é o exportador de dados. O exportador de dados é um usuário dos Serviços Online, conforme definido na seção dos OST intitulada “Segurança e Processamento de Dados: Medidas Técnicas e Organizacionais Adicionais”. </w:t>
      </w:r>
    </w:p>
    <w:p w:rsidR="00E83159" w:rsidRPr="00B810D0" w:rsidRDefault="00E83159" w:rsidP="00E83159">
      <w:pPr>
        <w:pStyle w:val="ProductList-Body"/>
        <w:spacing w:after="120"/>
      </w:pPr>
      <w:r>
        <w:t xml:space="preserve">Importador de dados: O importador de dados é a MICROSOFT CORPORATION, uma produtora global de software e serviços. </w:t>
      </w:r>
    </w:p>
    <w:p w:rsidR="00E83159" w:rsidRPr="00B810D0" w:rsidRDefault="00E83159" w:rsidP="00E83159">
      <w:pPr>
        <w:pStyle w:val="ProductList-Body"/>
        <w:spacing w:after="120"/>
      </w:pPr>
      <w:r>
        <w:rPr>
          <w:b/>
        </w:rPr>
        <w:t>Titulares dos dados</w:t>
      </w:r>
      <w:r w:rsidRPr="009B1B48">
        <w:rPr>
          <w:b/>
        </w:rPr>
        <w:t>:</w:t>
      </w:r>
      <w:r>
        <w:t xml:space="preserve"> Os titulares dos dados incluem os representantes do cliente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 </w:t>
      </w:r>
    </w:p>
    <w:p w:rsidR="00E83159" w:rsidRPr="00B810D0" w:rsidRDefault="00E83159" w:rsidP="00E83159">
      <w:pPr>
        <w:pStyle w:val="ProductList-Body"/>
        <w:spacing w:after="120"/>
      </w:pPr>
      <w:r>
        <w:rPr>
          <w:b/>
        </w:rPr>
        <w:t>Categorias de dados</w:t>
      </w:r>
      <w:r w:rsidRPr="009B1B48">
        <w:rPr>
          <w:b/>
        </w:rPr>
        <w:t>:</w:t>
      </w:r>
      <w:r>
        <w:t xml:space="preserve"> Os dados pessoais transferidos incluem email, documentos e outros dados em um formato eletrônico no contexto dos Serviços Online. </w:t>
      </w:r>
    </w:p>
    <w:p w:rsidR="00E83159" w:rsidRPr="00B810D0" w:rsidRDefault="00E83159" w:rsidP="00E83159">
      <w:pPr>
        <w:pStyle w:val="ProductList-Body"/>
      </w:pPr>
      <w:r>
        <w:rPr>
          <w:b/>
        </w:rPr>
        <w:t>Operações de processamento</w:t>
      </w:r>
      <w:r w:rsidRPr="009B1B48">
        <w:rPr>
          <w:b/>
        </w:rPr>
        <w:t>:</w:t>
      </w:r>
      <w:r>
        <w:t xml:space="preserve"> Os dados pessoais transferidos estarão sujeitos às seguintes atividades básicas de processamento: </w:t>
      </w:r>
    </w:p>
    <w:p w:rsidR="00E83159" w:rsidRPr="00B810D0" w:rsidRDefault="00E83159" w:rsidP="00E83159">
      <w:pPr>
        <w:pStyle w:val="ProductList-Body"/>
        <w:spacing w:after="60"/>
        <w:ind w:left="547"/>
      </w:pPr>
      <w:r>
        <w:rPr>
          <w:b/>
        </w:rPr>
        <w:t>a. Duração e Objeto do Processamento de Dados</w:t>
      </w:r>
      <w:r w:rsidRPr="009B1B48">
        <w:rPr>
          <w:b/>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rsidR="00E83159" w:rsidRPr="00B810D0" w:rsidRDefault="00E83159" w:rsidP="00E83159">
      <w:pPr>
        <w:pStyle w:val="ProductList-Body"/>
        <w:spacing w:after="60"/>
        <w:ind w:left="547"/>
      </w:pPr>
      <w:r>
        <w:rPr>
          <w:b/>
        </w:rPr>
        <w:t>b. Escopo e Finalidade do Processamento de Dados</w:t>
      </w:r>
      <w:r w:rsidRPr="009B1B48">
        <w:rPr>
          <w:b/>
        </w:rPr>
        <w:t>.</w:t>
      </w:r>
      <w:r>
        <w:t xml:space="preserve"> 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rsidR="00E83159" w:rsidRPr="00B810D0" w:rsidRDefault="00E83159" w:rsidP="00E83159">
      <w:pPr>
        <w:pStyle w:val="ProductList-Body"/>
        <w:spacing w:after="60"/>
        <w:ind w:left="547"/>
      </w:pPr>
      <w:r>
        <w:rPr>
          <w:b/>
        </w:rPr>
        <w:t>c. Acesso aos Dados do Cliente</w:t>
      </w:r>
      <w:r w:rsidRPr="009B1B48">
        <w:rPr>
          <w:b/>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rsidR="00E83159" w:rsidRPr="00B810D0" w:rsidRDefault="00E83159" w:rsidP="00E83159">
      <w:pPr>
        <w:pStyle w:val="ProductList-Body"/>
        <w:spacing w:after="60"/>
        <w:ind w:left="547"/>
      </w:pPr>
      <w:r>
        <w:rPr>
          <w:b/>
        </w:rPr>
        <w:t>d. Instruções do Exportador de Dados</w:t>
      </w:r>
      <w:r w:rsidRPr="009B1B48">
        <w:rPr>
          <w:b/>
        </w:rPr>
        <w:t>.</w:t>
      </w:r>
      <w:r>
        <w:t xml:space="preserve"> Para os Serviços Online, o importador de dados atuará somente conforme as instruções do exportador de dados conforme conduzidas pela Microsoft. </w:t>
      </w:r>
    </w:p>
    <w:p w:rsidR="00E83159" w:rsidRPr="00B810D0" w:rsidRDefault="00E83159" w:rsidP="00E83159">
      <w:pPr>
        <w:pStyle w:val="ProductList-Body"/>
        <w:spacing w:after="120"/>
        <w:ind w:left="547"/>
      </w:pPr>
      <w:r>
        <w:rPr>
          <w:b/>
        </w:rPr>
        <w:t>e. Exclusão ou Devolução de Dados do Cliente</w:t>
      </w:r>
      <w:r w:rsidRPr="009B1B48">
        <w:rPr>
          <w:b/>
        </w:rPr>
        <w:t>.</w:t>
      </w:r>
      <w:r>
        <w:t xml:space="preserve"> No término ou na rescisão do uso dos Serviços Online do exportador de dados, ele poderá extrair os Dados do Cliente, e o importador de dados excluirá os Dados do Cliente, de acordo com os OST aplicáveis ao contrato. </w:t>
      </w:r>
    </w:p>
    <w:p w:rsidR="00D67A4B" w:rsidRPr="00B810D0" w:rsidRDefault="00E83159" w:rsidP="00E83159">
      <w:pPr>
        <w:pStyle w:val="ProductList-Body"/>
      </w:pPr>
      <w:r>
        <w:rPr>
          <w:b/>
        </w:rPr>
        <w:t>Subcontratados</w:t>
      </w:r>
      <w:r w:rsidRPr="009B1B48">
        <w:rPr>
          <w:b/>
        </w:rPr>
        <w:t>:</w:t>
      </w:r>
      <w:r>
        <w:t xml:space="preserve"> 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rsidR="00D67A4B" w:rsidRPr="00B810D0" w:rsidRDefault="00D67A4B" w:rsidP="00A914BF">
      <w:pPr>
        <w:pStyle w:val="ProductList-Body"/>
      </w:pPr>
    </w:p>
    <w:p w:rsidR="00463CC3" w:rsidRPr="00B810D0" w:rsidRDefault="00463CC3" w:rsidP="00233C87">
      <w:pPr>
        <w:pStyle w:val="ProductList-Body"/>
        <w:jc w:val="center"/>
        <w:outlineLvl w:val="1"/>
      </w:pPr>
      <w:r>
        <w:rPr>
          <w:b/>
        </w:rPr>
        <w:t>Apêndice 2 às Cláusulas Contratuais Padrão</w:t>
      </w:r>
    </w:p>
    <w:p w:rsidR="00463CC3" w:rsidRPr="00B810D0" w:rsidRDefault="00463CC3" w:rsidP="00463CC3">
      <w:pPr>
        <w:pStyle w:val="ProductList-Body"/>
      </w:pPr>
    </w:p>
    <w:p w:rsidR="00463CC3" w:rsidRPr="00B810D0" w:rsidRDefault="00463CC3" w:rsidP="00463CC3">
      <w:pPr>
        <w:pStyle w:val="ProductList-Body"/>
        <w:spacing w:after="120"/>
      </w:pPr>
      <w:r>
        <w:t>Descrição das medidas de segurança técnicas e organizacionais implementadas pelo importador de dados de acordo com as Cláusulas 4(d) e 5(c):</w:t>
      </w:r>
    </w:p>
    <w:p w:rsidR="00463CC3" w:rsidRPr="00B810D0" w:rsidRDefault="00463CC3" w:rsidP="00463CC3">
      <w:pPr>
        <w:pStyle w:val="ProductList-Body"/>
        <w:spacing w:after="120"/>
      </w:pPr>
      <w:r>
        <w:t xml:space="preserve">1. </w:t>
      </w:r>
      <w:r>
        <w:rPr>
          <w:b/>
        </w:rPr>
        <w:t>Equipe</w:t>
      </w:r>
      <w:r w:rsidRPr="009B1B48">
        <w:rPr>
          <w:b/>
        </w:rPr>
        <w:t>.</w:t>
      </w:r>
      <w:r>
        <w:t xml:space="preserve"> A equipe do importador de dados não processará os Dados sem autorização. A equipe é obrigada a manter a confidencialidade de todos os Dados, e essa obrigação permanece mesmo após o término da contratação. </w:t>
      </w:r>
    </w:p>
    <w:p w:rsidR="00463CC3" w:rsidRPr="00B810D0" w:rsidRDefault="00463CC3" w:rsidP="00463CC3">
      <w:pPr>
        <w:pStyle w:val="ProductList-Body"/>
      </w:pPr>
      <w:r>
        <w:t xml:space="preserve">2. </w:t>
      </w:r>
      <w:r>
        <w:rPr>
          <w:b/>
        </w:rPr>
        <w:t>Contato de Privacidade de Dados</w:t>
      </w:r>
      <w:r w:rsidRPr="009B1B48">
        <w:rPr>
          <w:b/>
        </w:rPr>
        <w:t>.</w:t>
      </w:r>
      <w:r>
        <w:t xml:space="preserve"> O oficial de privacidade de dados do importador de dados poderá ser contatado no seguinte endereço: </w:t>
      </w:r>
    </w:p>
    <w:p w:rsidR="00463CC3" w:rsidRPr="00B810D0" w:rsidRDefault="00463CC3" w:rsidP="00463CC3">
      <w:pPr>
        <w:pStyle w:val="ProductList-Body"/>
      </w:pPr>
      <w:r>
        <w:t xml:space="preserve">Microsoft Corporation </w:t>
      </w:r>
    </w:p>
    <w:p w:rsidR="00463CC3" w:rsidRPr="00B810D0" w:rsidRDefault="00463CC3" w:rsidP="00463CC3">
      <w:pPr>
        <w:pStyle w:val="ProductList-Body"/>
        <w:ind w:left="360"/>
      </w:pPr>
      <w:r>
        <w:t>Attn: Chief Privacy Officer</w:t>
      </w:r>
      <w:r w:rsidR="006573C2">
        <w:t xml:space="preserve"> </w:t>
      </w:r>
    </w:p>
    <w:p w:rsidR="00463CC3" w:rsidRPr="00B810D0" w:rsidRDefault="00463CC3" w:rsidP="00463CC3">
      <w:pPr>
        <w:pStyle w:val="ProductList-Body"/>
        <w:ind w:left="360"/>
      </w:pPr>
      <w:r>
        <w:t xml:space="preserve">1 Microsoft Way </w:t>
      </w:r>
    </w:p>
    <w:p w:rsidR="00463CC3" w:rsidRPr="00B810D0" w:rsidRDefault="00463CC3" w:rsidP="00463CC3">
      <w:pPr>
        <w:pStyle w:val="ProductList-Body"/>
        <w:spacing w:after="120"/>
        <w:ind w:left="360"/>
      </w:pPr>
      <w:r>
        <w:t xml:space="preserve">Redmond, WA 98052 USA </w:t>
      </w:r>
    </w:p>
    <w:p w:rsidR="00463CC3" w:rsidRPr="00B810D0" w:rsidRDefault="00463CC3" w:rsidP="00463CC3">
      <w:pPr>
        <w:pStyle w:val="ProductList-Body"/>
        <w:spacing w:after="120"/>
      </w:pPr>
      <w:r>
        <w:t xml:space="preserve">3. </w:t>
      </w:r>
      <w:r>
        <w:rPr>
          <w:b/>
        </w:rPr>
        <w:t>Medidas Técnicas e Organizacionais</w:t>
      </w:r>
      <w:r w:rsidRPr="009B1B48">
        <w:rPr>
          <w:b/>
        </w:rPr>
        <w:t>.</w:t>
      </w:r>
      <w:r>
        <w:t xml:space="preserve"> 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w:t>
      </w:r>
      <w:r w:rsidR="007514F7">
        <w:t> </w:t>
      </w:r>
      <w:r>
        <w:t>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rsidR="00463CC3" w:rsidRPr="00B810D0" w:rsidRDefault="00463CC3" w:rsidP="00463CC3">
      <w:pPr>
        <w:pStyle w:val="ProductList-Body"/>
      </w:pPr>
      <w:r>
        <w:t>A assinatura da Microsoft Corporation é exibida na página a seguir.</w:t>
      </w:r>
    </w:p>
    <w:p w:rsidR="00463CC3" w:rsidRPr="00B810D0" w:rsidRDefault="00463CC3" w:rsidP="00A914BF">
      <w:pPr>
        <w:pStyle w:val="ProductList-Body"/>
      </w:pPr>
      <w:r>
        <w:br w:type="page"/>
      </w:r>
    </w:p>
    <w:p w:rsidR="00463CC3" w:rsidRPr="00B810D0" w:rsidRDefault="00463CC3" w:rsidP="00A914BF">
      <w:pPr>
        <w:pStyle w:val="ProductList-Body"/>
      </w:pPr>
    </w:p>
    <w:p w:rsidR="00463CC3" w:rsidRPr="00B810D0" w:rsidRDefault="00463CC3" w:rsidP="00233C87">
      <w:pPr>
        <w:pStyle w:val="ProductList-Body"/>
        <w:outlineLvl w:val="1"/>
      </w:pPr>
      <w:r>
        <w:rPr>
          <w:b/>
        </w:rPr>
        <w:t>Assinando as Cláusulas Contratuais Padrão, o Apêndice 1 e o Apêndice 2 em nome do importador de dados:</w:t>
      </w:r>
    </w:p>
    <w:p w:rsidR="00463CC3" w:rsidRPr="00B810D0" w:rsidRDefault="00463CC3" w:rsidP="00A914BF">
      <w:pPr>
        <w:pStyle w:val="ProductList-Body"/>
      </w:pPr>
      <w:r>
        <w:rPr>
          <w:rFonts w:eastAsia="MS Mincho" w:cs="Arial"/>
          <w:noProof/>
          <w:szCs w:val="18"/>
        </w:rPr>
        <w:drawing>
          <wp:anchor distT="0" distB="0" distL="114300" distR="114300" simplePos="0" relativeHeight="251659264"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B810D0" w:rsidRDefault="00463CC3" w:rsidP="00463CC3">
      <w:pPr>
        <w:pStyle w:val="ProductList-Body"/>
      </w:pPr>
    </w:p>
    <w:p w:rsidR="00463CC3" w:rsidRPr="00B810D0" w:rsidRDefault="00463CC3" w:rsidP="00463CC3">
      <w:pPr>
        <w:pStyle w:val="ProductList-Body"/>
      </w:pPr>
      <w:r>
        <w:t>Rajesh Jha, Vice-presidente Corporativo</w:t>
      </w:r>
    </w:p>
    <w:p w:rsidR="00463CC3" w:rsidRPr="00B810D0" w:rsidRDefault="00463CC3" w:rsidP="00463CC3">
      <w:pPr>
        <w:pStyle w:val="ProductList-Body"/>
      </w:pPr>
      <w:r>
        <w:t>Microsoft Corporation</w:t>
      </w:r>
    </w:p>
    <w:p w:rsidR="00463CC3" w:rsidRPr="00B810D0" w:rsidRDefault="00463CC3" w:rsidP="00463CC3">
      <w:pPr>
        <w:pStyle w:val="ProductList-Body"/>
      </w:pPr>
      <w:r>
        <w:t>One Microsoft Way, Redmond WA, USA 98052</w:t>
      </w:r>
    </w:p>
    <w:p w:rsidR="00463CC3" w:rsidRPr="00B810D0" w:rsidRDefault="00463CC3" w:rsidP="00A914BF">
      <w:pPr>
        <w:pStyle w:val="ProductList-Body"/>
      </w:pPr>
    </w:p>
    <w:p w:rsidR="00D67A4B" w:rsidRPr="00B810D0" w:rsidRDefault="00D67A4B" w:rsidP="00A914BF">
      <w:pPr>
        <w:pStyle w:val="ProductList-Body"/>
      </w:pPr>
    </w:p>
    <w:p w:rsidR="004D27A6" w:rsidRPr="00B810D0" w:rsidRDefault="004D27A6" w:rsidP="00A914BF">
      <w:pPr>
        <w:pStyle w:val="ProductList-Body"/>
      </w:pPr>
    </w:p>
    <w:sectPr w:rsidR="004D27A6" w:rsidRPr="00B810D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64EF" w:rsidRDefault="00EA64EF" w:rsidP="009A573F">
      <w:pPr>
        <w:spacing w:after="0" w:line="240" w:lineRule="auto"/>
      </w:pPr>
      <w:r>
        <w:separator/>
      </w:r>
    </w:p>
  </w:endnote>
  <w:endnote w:type="continuationSeparator" w:id="0">
    <w:p w:rsidR="00EA64EF" w:rsidRDefault="00EA64EF" w:rsidP="009A573F">
      <w:pPr>
        <w:spacing w:after="0" w:line="240" w:lineRule="auto"/>
      </w:pPr>
      <w:r>
        <w:continuationSeparator/>
      </w:r>
    </w:p>
  </w:endnote>
  <w:endnote w:type="continuationNotice" w:id="1">
    <w:p w:rsidR="00EA64EF" w:rsidRDefault="00EA64E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370A" w:rsidRDefault="000F370A" w:rsidP="004D27A6">
    <w:pPr>
      <w:pStyle w:val="ProductList-Body"/>
    </w:pPr>
    <w:r>
      <w:rPr>
        <w:noProof/>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370A" w:rsidRPr="00591643" w:rsidRDefault="000F370A">
    <w:pPr>
      <w:pStyle w:val="Footer"/>
      <w:rPr>
        <w:sz w:val="14"/>
        <w:szCs w:val="14"/>
      </w:rPr>
    </w:pPr>
    <w:r>
      <w:rPr>
        <w:noProof/>
      </w:rPr>
      <w:drawing>
        <wp:inline distT="0" distB="0" distL="0" distR="0">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370A"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370A" w:rsidRPr="00C76DF3" w:rsidRDefault="00EA64EF" w:rsidP="005C51AC">
          <w:pPr>
            <w:pStyle w:val="ProductList-OfferingBody"/>
            <w:ind w:left="-77" w:right="-73"/>
            <w:jc w:val="center"/>
            <w:rPr>
              <w:color w:val="808080" w:themeColor="background1" w:themeShade="80"/>
              <w:sz w:val="14"/>
              <w:szCs w:val="14"/>
            </w:rPr>
          </w:pPr>
          <w:hyperlink w:anchor="TableofContents" w:history="1">
            <w:r w:rsidR="000F370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F370A" w:rsidRPr="00C76DF3" w:rsidRDefault="000F37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370A" w:rsidRPr="00C76DF3" w:rsidRDefault="00EA64EF" w:rsidP="005C51AC">
          <w:pPr>
            <w:pStyle w:val="ProductList-OfferingBody"/>
            <w:ind w:left="-72" w:right="-74"/>
            <w:jc w:val="center"/>
            <w:rPr>
              <w:color w:val="808080" w:themeColor="background1" w:themeShade="80"/>
              <w:sz w:val="14"/>
              <w:szCs w:val="14"/>
            </w:rPr>
          </w:pPr>
          <w:hyperlink w:anchor="Introdução" w:history="1">
            <w:r w:rsidR="000F370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370A" w:rsidRPr="00C76DF3" w:rsidRDefault="000F37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370A" w:rsidRPr="00C76DF3" w:rsidRDefault="00EA64EF" w:rsidP="005C51AC">
          <w:pPr>
            <w:pStyle w:val="ProductList-OfferingBody"/>
            <w:ind w:left="-72" w:right="-75"/>
            <w:jc w:val="center"/>
            <w:rPr>
              <w:color w:val="808080" w:themeColor="background1" w:themeShade="80"/>
              <w:sz w:val="14"/>
              <w:szCs w:val="14"/>
            </w:rPr>
          </w:pPr>
          <w:hyperlink w:anchor="GeneralTerms" w:history="1">
            <w:r w:rsidR="000F370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F370A" w:rsidRPr="00C76DF3" w:rsidRDefault="000F37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370A" w:rsidRPr="00C76DF3" w:rsidRDefault="00EA64EF" w:rsidP="005C51AC">
          <w:pPr>
            <w:pStyle w:val="ProductList-OfferingBody"/>
            <w:ind w:left="-72" w:right="-77"/>
            <w:jc w:val="center"/>
            <w:rPr>
              <w:color w:val="808080" w:themeColor="background1" w:themeShade="80"/>
              <w:sz w:val="14"/>
              <w:szCs w:val="14"/>
            </w:rPr>
          </w:pPr>
          <w:hyperlink w:anchor="PrivacyandSecurityTerms" w:history="1">
            <w:r w:rsidR="000F370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370A" w:rsidRPr="00C76DF3" w:rsidRDefault="000F37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F370A" w:rsidRPr="00C76DF3" w:rsidRDefault="00EA64EF" w:rsidP="005C51AC">
          <w:pPr>
            <w:pStyle w:val="ProductList-OfferingBody"/>
            <w:ind w:left="-72" w:right="-77"/>
            <w:jc w:val="center"/>
            <w:rPr>
              <w:color w:val="808080" w:themeColor="background1" w:themeShade="80"/>
              <w:sz w:val="14"/>
              <w:szCs w:val="14"/>
            </w:rPr>
          </w:pPr>
          <w:hyperlink w:anchor="OnlineServiceSpecificTerms" w:history="1">
            <w:r w:rsidR="000F370A">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370A" w:rsidRPr="00C76DF3" w:rsidRDefault="000F37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370A" w:rsidRPr="00C76DF3" w:rsidRDefault="00EA64EF" w:rsidP="005C51AC">
          <w:pPr>
            <w:pStyle w:val="ProductList-OfferingBody"/>
            <w:ind w:left="-72" w:right="-76"/>
            <w:jc w:val="center"/>
            <w:rPr>
              <w:color w:val="808080" w:themeColor="background1" w:themeShade="80"/>
              <w:sz w:val="14"/>
              <w:szCs w:val="14"/>
            </w:rPr>
          </w:pPr>
          <w:hyperlink w:anchor="Attachment1" w:history="1">
            <w:r w:rsidR="000F370A">
              <w:rPr>
                <w:rStyle w:val="Hyperlink"/>
                <w:sz w:val="14"/>
                <w:szCs w:val="14"/>
              </w:rPr>
              <w:t>Anexos</w:t>
            </w:r>
          </w:hyperlink>
        </w:p>
      </w:tc>
    </w:tr>
  </w:tbl>
  <w:p w:rsidR="000F370A" w:rsidRPr="00591643" w:rsidRDefault="000F370A"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368"/>
      <w:gridCol w:w="189"/>
      <w:gridCol w:w="1404"/>
      <w:gridCol w:w="180"/>
      <w:gridCol w:w="1350"/>
      <w:gridCol w:w="189"/>
      <w:gridCol w:w="2214"/>
      <w:gridCol w:w="171"/>
      <w:gridCol w:w="2430"/>
      <w:gridCol w:w="189"/>
      <w:gridCol w:w="1107"/>
    </w:tblGrid>
    <w:tr w:rsidR="000F370A" w:rsidRPr="0032093E" w:rsidTr="00DE2C32">
      <w:tc>
        <w:tcPr>
          <w:tcW w:w="13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F370A" w:rsidRPr="0084328F" w:rsidRDefault="00EA64EF" w:rsidP="00591643">
          <w:pPr>
            <w:pStyle w:val="ProductList-OfferingBody"/>
            <w:ind w:left="-77" w:right="-73"/>
            <w:jc w:val="center"/>
            <w:rPr>
              <w:rStyle w:val="Hyperlink"/>
              <w:sz w:val="14"/>
              <w:szCs w:val="14"/>
            </w:rPr>
          </w:pPr>
          <w:hyperlink w:anchor="TableofContents" w:history="1">
            <w:r w:rsidR="000F370A" w:rsidRPr="0084328F">
              <w:rPr>
                <w:rStyle w:val="Hyperlink"/>
                <w:sz w:val="14"/>
                <w:szCs w:val="14"/>
              </w:rPr>
              <w:t>Sumário</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591643">
          <w:pPr>
            <w:pStyle w:val="ProductList-OfferingBody"/>
            <w:ind w:left="-71"/>
            <w:rPr>
              <w:rStyle w:val="Hyperlink"/>
              <w:sz w:val="14"/>
              <w:szCs w:val="14"/>
            </w:rPr>
          </w:pPr>
          <w:r w:rsidRPr="00C76DF3">
            <w:rPr>
              <w:rFonts w:ascii="Wingdings" w:hAnsi="Wingdings" w:cs="Wingdings"/>
              <w:color w:val="808080" w:themeColor="background1" w:themeShade="80"/>
              <w:sz w:val="14"/>
              <w:szCs w:val="14"/>
            </w:rPr>
            <w:t></w:t>
          </w:r>
        </w:p>
      </w:tc>
      <w:tc>
        <w:tcPr>
          <w:tcW w:w="14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591643">
          <w:pPr>
            <w:pStyle w:val="ProductList-OfferingBody"/>
            <w:ind w:left="-72" w:right="-74"/>
            <w:jc w:val="center"/>
            <w:rPr>
              <w:rStyle w:val="Hyperlink"/>
              <w:sz w:val="14"/>
              <w:szCs w:val="14"/>
            </w:rPr>
          </w:pPr>
          <w:hyperlink w:anchor="Introduction" w:history="1">
            <w:r w:rsidR="000F370A" w:rsidRPr="0084328F">
              <w:rPr>
                <w:rStyle w:val="Hyperlink"/>
                <w:sz w:val="14"/>
                <w:szCs w:val="14"/>
              </w:rPr>
              <w:t>Introdução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591643">
          <w:pPr>
            <w:pStyle w:val="ProductList-OfferingBody"/>
            <w:ind w:left="-70"/>
            <w:rPr>
              <w:rStyle w:val="Hyperlink"/>
              <w:sz w:val="14"/>
              <w:szCs w:val="14"/>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370A" w:rsidRPr="0084328F" w:rsidRDefault="00EA64EF" w:rsidP="003812FE">
          <w:pPr>
            <w:pStyle w:val="ProductList-OfferingBody"/>
            <w:ind w:left="-72" w:right="-75"/>
            <w:jc w:val="center"/>
            <w:rPr>
              <w:rStyle w:val="Hyperlink"/>
              <w:sz w:val="14"/>
              <w:szCs w:val="14"/>
            </w:rPr>
          </w:pPr>
          <w:hyperlink w:anchor="GeneralTerms" w:history="1">
            <w:r w:rsidR="000F370A" w:rsidRPr="0084328F">
              <w:rPr>
                <w:rStyle w:val="Hyperlink"/>
                <w:sz w:val="14"/>
                <w:szCs w:val="14"/>
              </w:rPr>
              <w:t>Termos Gerais</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591643">
          <w:pPr>
            <w:pStyle w:val="ProductList-OfferingBody"/>
            <w:ind w:left="-69"/>
            <w:jc w:val="center"/>
            <w:rPr>
              <w:rStyle w:val="Hyperlink"/>
              <w:sz w:val="14"/>
              <w:szCs w:val="14"/>
            </w:rPr>
          </w:pPr>
          <w:r w:rsidRPr="00C76DF3">
            <w:rPr>
              <w:rFonts w:ascii="Wingdings" w:hAnsi="Wingdings" w:cs="Wingdings"/>
              <w:color w:val="808080" w:themeColor="background1" w:themeShade="80"/>
              <w:sz w:val="14"/>
              <w:szCs w:val="14"/>
            </w:rPr>
            <w:t></w:t>
          </w:r>
        </w:p>
      </w:tc>
      <w:tc>
        <w:tcPr>
          <w:tcW w:w="22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370A" w:rsidRPr="0084328F" w:rsidRDefault="00EA64EF" w:rsidP="00591643">
          <w:pPr>
            <w:pStyle w:val="ProductList-OfferingBody"/>
            <w:ind w:left="-72" w:right="-77"/>
            <w:jc w:val="center"/>
            <w:rPr>
              <w:rStyle w:val="Hyperlink"/>
              <w:sz w:val="14"/>
              <w:szCs w:val="14"/>
            </w:rPr>
          </w:pPr>
          <w:hyperlink w:anchor="PrivacyandSecurityTerms" w:history="1">
            <w:r w:rsidR="000F370A" w:rsidRPr="0084328F">
              <w:rPr>
                <w:rStyle w:val="Hyperlink"/>
                <w:sz w:val="14"/>
                <w:szCs w:val="14"/>
              </w:rPr>
              <w:t>Termos de Privacidade e Segurança</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591643">
          <w:pPr>
            <w:pStyle w:val="ProductList-OfferingBody"/>
            <w:ind w:left="-67"/>
            <w:jc w:val="center"/>
            <w:rPr>
              <w:rStyle w:val="Hyperlink"/>
              <w:sz w:val="14"/>
              <w:szCs w:val="14"/>
            </w:rPr>
          </w:pPr>
          <w:r w:rsidRPr="00C76DF3">
            <w:rPr>
              <w:rFonts w:ascii="Wingdings" w:hAnsi="Wingdings" w:cs="Wingdings"/>
              <w:color w:val="808080" w:themeColor="background1" w:themeShade="80"/>
              <w:sz w:val="14"/>
              <w:szCs w:val="14"/>
            </w:rPr>
            <w:t></w:t>
          </w:r>
        </w:p>
      </w:tc>
      <w:tc>
        <w:tcPr>
          <w:tcW w:w="24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144" w:type="dxa"/>
            <w:right w:w="144" w:type="dxa"/>
          </w:tcMar>
          <w:vAlign w:val="center"/>
        </w:tcPr>
        <w:p w:rsidR="000F370A" w:rsidRPr="0084328F" w:rsidRDefault="00EA64EF" w:rsidP="003812FE">
          <w:pPr>
            <w:pStyle w:val="ProductList-OfferingBody"/>
            <w:ind w:left="-72" w:right="-77"/>
            <w:jc w:val="center"/>
            <w:rPr>
              <w:rStyle w:val="Hyperlink"/>
              <w:sz w:val="14"/>
              <w:szCs w:val="14"/>
            </w:rPr>
          </w:pPr>
          <w:hyperlink w:anchor="OnlineServiceSpecificTerms" w:history="1">
            <w:r w:rsidR="000F370A" w:rsidRPr="0084328F">
              <w:rPr>
                <w:rStyle w:val="Hyperlink"/>
                <w:sz w:val="14"/>
                <w:szCs w:val="14"/>
              </w:rPr>
              <w:t>Termos Específicos dos Serviços Online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591643">
          <w:pPr>
            <w:pStyle w:val="ProductList-OfferingBody"/>
            <w:ind w:left="-67"/>
            <w:jc w:val="center"/>
            <w:rPr>
              <w:rStyle w:val="Hyperlink"/>
              <w:sz w:val="14"/>
              <w:szCs w:val="14"/>
            </w:rPr>
          </w:pPr>
          <w:r w:rsidRPr="00C76DF3">
            <w:rPr>
              <w:rFonts w:ascii="Wingdings" w:hAnsi="Wingdings" w:cs="Wingdings"/>
              <w:color w:val="808080" w:themeColor="background1" w:themeShade="80"/>
              <w:sz w:val="14"/>
              <w:szCs w:val="14"/>
            </w:rPr>
            <w:t></w:t>
          </w:r>
        </w:p>
      </w:tc>
      <w:tc>
        <w:tcPr>
          <w:tcW w:w="11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370A" w:rsidRPr="0084328F" w:rsidRDefault="00EA64EF" w:rsidP="003812FE">
          <w:pPr>
            <w:pStyle w:val="ProductList-OfferingBody"/>
            <w:ind w:left="-72" w:right="-76"/>
            <w:jc w:val="center"/>
            <w:rPr>
              <w:rStyle w:val="Hyperlink"/>
              <w:sz w:val="14"/>
              <w:szCs w:val="14"/>
            </w:rPr>
          </w:pPr>
          <w:hyperlink w:anchor="Attachment1" w:history="1">
            <w:r w:rsidR="000F370A" w:rsidRPr="0084328F">
              <w:rPr>
                <w:rStyle w:val="Hyperlink"/>
                <w:sz w:val="14"/>
                <w:szCs w:val="14"/>
              </w:rPr>
              <w:t>Anexo</w:t>
            </w:r>
          </w:hyperlink>
        </w:p>
      </w:tc>
    </w:tr>
  </w:tbl>
  <w:p w:rsidR="000F370A" w:rsidRPr="00ED05FC" w:rsidRDefault="000F370A">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368"/>
      <w:gridCol w:w="189"/>
      <w:gridCol w:w="1404"/>
      <w:gridCol w:w="180"/>
      <w:gridCol w:w="1350"/>
      <w:gridCol w:w="189"/>
      <w:gridCol w:w="2214"/>
      <w:gridCol w:w="171"/>
      <w:gridCol w:w="2430"/>
      <w:gridCol w:w="189"/>
      <w:gridCol w:w="1107"/>
    </w:tblGrid>
    <w:tr w:rsidR="000F370A" w:rsidRPr="0032093E" w:rsidTr="00DE2C32">
      <w:tc>
        <w:tcPr>
          <w:tcW w:w="13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7" w:right="-73"/>
            <w:jc w:val="center"/>
            <w:rPr>
              <w:rStyle w:val="Hyperlink"/>
              <w:sz w:val="14"/>
              <w:szCs w:val="14"/>
            </w:rPr>
          </w:pPr>
          <w:hyperlink w:anchor="TableofContents" w:history="1">
            <w:r w:rsidR="000F370A" w:rsidRPr="0084328F">
              <w:rPr>
                <w:rStyle w:val="Hyperlink"/>
                <w:sz w:val="14"/>
                <w:szCs w:val="14"/>
              </w:rPr>
              <w:t>Sumário</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71"/>
            <w:rPr>
              <w:rStyle w:val="Hyperlink"/>
              <w:sz w:val="14"/>
              <w:szCs w:val="14"/>
            </w:rPr>
          </w:pPr>
          <w:r w:rsidRPr="00C76DF3">
            <w:rPr>
              <w:rFonts w:ascii="Wingdings" w:hAnsi="Wingdings" w:cs="Wingdings"/>
              <w:color w:val="808080" w:themeColor="background1" w:themeShade="80"/>
              <w:sz w:val="14"/>
              <w:szCs w:val="14"/>
            </w:rPr>
            <w:t></w:t>
          </w:r>
        </w:p>
      </w:tc>
      <w:tc>
        <w:tcPr>
          <w:tcW w:w="14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F370A" w:rsidRPr="0084328F" w:rsidRDefault="00EA64EF" w:rsidP="000F370A">
          <w:pPr>
            <w:pStyle w:val="ProductList-OfferingBody"/>
            <w:ind w:left="-72" w:right="-74"/>
            <w:jc w:val="center"/>
            <w:rPr>
              <w:rStyle w:val="Hyperlink"/>
              <w:sz w:val="14"/>
              <w:szCs w:val="14"/>
            </w:rPr>
          </w:pPr>
          <w:hyperlink w:anchor="Introduction" w:history="1">
            <w:r w:rsidR="000F370A" w:rsidRPr="0084328F">
              <w:rPr>
                <w:rStyle w:val="Hyperlink"/>
                <w:sz w:val="14"/>
                <w:szCs w:val="14"/>
              </w:rPr>
              <w:t>Introdução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70"/>
            <w:rPr>
              <w:rStyle w:val="Hyperlink"/>
              <w:sz w:val="14"/>
              <w:szCs w:val="14"/>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370A" w:rsidRPr="0084328F" w:rsidRDefault="00EA64EF" w:rsidP="000F370A">
          <w:pPr>
            <w:pStyle w:val="ProductList-OfferingBody"/>
            <w:ind w:left="-72" w:right="-75"/>
            <w:jc w:val="center"/>
            <w:rPr>
              <w:rStyle w:val="Hyperlink"/>
              <w:sz w:val="14"/>
              <w:szCs w:val="14"/>
            </w:rPr>
          </w:pPr>
          <w:hyperlink w:anchor="GeneralTerms" w:history="1">
            <w:r w:rsidR="000F370A" w:rsidRPr="0084328F">
              <w:rPr>
                <w:rStyle w:val="Hyperlink"/>
                <w:sz w:val="14"/>
                <w:szCs w:val="14"/>
              </w:rPr>
              <w:t>Termos Gerais</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9"/>
            <w:jc w:val="center"/>
            <w:rPr>
              <w:rStyle w:val="Hyperlink"/>
              <w:sz w:val="14"/>
              <w:szCs w:val="14"/>
            </w:rPr>
          </w:pPr>
          <w:r w:rsidRPr="00C76DF3">
            <w:rPr>
              <w:rFonts w:ascii="Wingdings" w:hAnsi="Wingdings" w:cs="Wingdings"/>
              <w:color w:val="808080" w:themeColor="background1" w:themeShade="80"/>
              <w:sz w:val="14"/>
              <w:szCs w:val="14"/>
            </w:rPr>
            <w:t></w:t>
          </w:r>
        </w:p>
      </w:tc>
      <w:tc>
        <w:tcPr>
          <w:tcW w:w="22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370A" w:rsidRPr="0084328F" w:rsidRDefault="00EA64EF" w:rsidP="000F370A">
          <w:pPr>
            <w:pStyle w:val="ProductList-OfferingBody"/>
            <w:ind w:left="-72" w:right="-77"/>
            <w:jc w:val="center"/>
            <w:rPr>
              <w:rStyle w:val="Hyperlink"/>
              <w:sz w:val="14"/>
              <w:szCs w:val="14"/>
            </w:rPr>
          </w:pPr>
          <w:hyperlink w:anchor="PrivacyandSecurityTerms" w:history="1">
            <w:r w:rsidR="000F370A" w:rsidRPr="0084328F">
              <w:rPr>
                <w:rStyle w:val="Hyperlink"/>
                <w:sz w:val="14"/>
                <w:szCs w:val="14"/>
              </w:rPr>
              <w:t>Termos de Privacidade e Segurança</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7"/>
            <w:jc w:val="center"/>
            <w:rPr>
              <w:rStyle w:val="Hyperlink"/>
              <w:sz w:val="14"/>
              <w:szCs w:val="14"/>
            </w:rPr>
          </w:pPr>
          <w:r w:rsidRPr="00C76DF3">
            <w:rPr>
              <w:rFonts w:ascii="Wingdings" w:hAnsi="Wingdings" w:cs="Wingdings"/>
              <w:color w:val="808080" w:themeColor="background1" w:themeShade="80"/>
              <w:sz w:val="14"/>
              <w:szCs w:val="14"/>
            </w:rPr>
            <w:t></w:t>
          </w:r>
        </w:p>
      </w:tc>
      <w:tc>
        <w:tcPr>
          <w:tcW w:w="24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144" w:type="dxa"/>
            <w:right w:w="144" w:type="dxa"/>
          </w:tcMar>
          <w:vAlign w:val="center"/>
        </w:tcPr>
        <w:p w:rsidR="000F370A" w:rsidRPr="0084328F" w:rsidRDefault="00EA64EF" w:rsidP="000F370A">
          <w:pPr>
            <w:pStyle w:val="ProductList-OfferingBody"/>
            <w:ind w:left="-72" w:right="-77"/>
            <w:jc w:val="center"/>
            <w:rPr>
              <w:rStyle w:val="Hyperlink"/>
              <w:sz w:val="14"/>
              <w:szCs w:val="14"/>
            </w:rPr>
          </w:pPr>
          <w:hyperlink w:anchor="OnlineServiceSpecificTerms" w:history="1">
            <w:r w:rsidR="000F370A" w:rsidRPr="0084328F">
              <w:rPr>
                <w:rStyle w:val="Hyperlink"/>
                <w:sz w:val="14"/>
                <w:szCs w:val="14"/>
              </w:rPr>
              <w:t>Termos Específicos dos Serviços Online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7"/>
            <w:jc w:val="center"/>
            <w:rPr>
              <w:rStyle w:val="Hyperlink"/>
              <w:sz w:val="14"/>
              <w:szCs w:val="14"/>
            </w:rPr>
          </w:pPr>
          <w:r w:rsidRPr="00C76DF3">
            <w:rPr>
              <w:rFonts w:ascii="Wingdings" w:hAnsi="Wingdings" w:cs="Wingdings"/>
              <w:color w:val="808080" w:themeColor="background1" w:themeShade="80"/>
              <w:sz w:val="14"/>
              <w:szCs w:val="14"/>
            </w:rPr>
            <w:t></w:t>
          </w:r>
        </w:p>
      </w:tc>
      <w:tc>
        <w:tcPr>
          <w:tcW w:w="11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370A" w:rsidRPr="0084328F" w:rsidRDefault="00EA64EF" w:rsidP="000F370A">
          <w:pPr>
            <w:pStyle w:val="ProductList-OfferingBody"/>
            <w:ind w:left="-72" w:right="-76"/>
            <w:jc w:val="center"/>
            <w:rPr>
              <w:rStyle w:val="Hyperlink"/>
              <w:sz w:val="14"/>
              <w:szCs w:val="14"/>
            </w:rPr>
          </w:pPr>
          <w:hyperlink w:anchor="Attachment1" w:history="1">
            <w:r w:rsidR="000F370A" w:rsidRPr="0084328F">
              <w:rPr>
                <w:rStyle w:val="Hyperlink"/>
                <w:sz w:val="14"/>
                <w:szCs w:val="14"/>
              </w:rPr>
              <w:t>Anexo</w:t>
            </w:r>
          </w:hyperlink>
        </w:p>
      </w:tc>
    </w:tr>
  </w:tbl>
  <w:p w:rsidR="000F370A" w:rsidRPr="00ED05FC" w:rsidRDefault="000F370A" w:rsidP="00DE2C3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368"/>
      <w:gridCol w:w="189"/>
      <w:gridCol w:w="1404"/>
      <w:gridCol w:w="180"/>
      <w:gridCol w:w="1350"/>
      <w:gridCol w:w="189"/>
      <w:gridCol w:w="2214"/>
      <w:gridCol w:w="171"/>
      <w:gridCol w:w="2430"/>
      <w:gridCol w:w="189"/>
      <w:gridCol w:w="1107"/>
    </w:tblGrid>
    <w:tr w:rsidR="000F370A" w:rsidRPr="0032093E" w:rsidTr="000F370A">
      <w:tc>
        <w:tcPr>
          <w:tcW w:w="13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7" w:right="-73"/>
            <w:jc w:val="center"/>
            <w:rPr>
              <w:rStyle w:val="Hyperlink"/>
              <w:sz w:val="14"/>
              <w:szCs w:val="14"/>
            </w:rPr>
          </w:pPr>
          <w:hyperlink w:anchor="TableofContents" w:history="1">
            <w:r w:rsidR="000F370A" w:rsidRPr="0084328F">
              <w:rPr>
                <w:rStyle w:val="Hyperlink"/>
                <w:sz w:val="14"/>
                <w:szCs w:val="14"/>
              </w:rPr>
              <w:t>Sumário</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71"/>
            <w:rPr>
              <w:rStyle w:val="Hyperlink"/>
              <w:sz w:val="14"/>
              <w:szCs w:val="14"/>
            </w:rPr>
          </w:pPr>
          <w:r w:rsidRPr="00C76DF3">
            <w:rPr>
              <w:rFonts w:ascii="Wingdings" w:hAnsi="Wingdings" w:cs="Wingdings"/>
              <w:color w:val="808080" w:themeColor="background1" w:themeShade="80"/>
              <w:sz w:val="14"/>
              <w:szCs w:val="14"/>
            </w:rPr>
            <w:t></w:t>
          </w:r>
        </w:p>
      </w:tc>
      <w:tc>
        <w:tcPr>
          <w:tcW w:w="14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2" w:right="-74"/>
            <w:jc w:val="center"/>
            <w:rPr>
              <w:rStyle w:val="Hyperlink"/>
              <w:sz w:val="14"/>
              <w:szCs w:val="14"/>
            </w:rPr>
          </w:pPr>
          <w:hyperlink w:anchor="Introduction" w:history="1">
            <w:r w:rsidR="000F370A" w:rsidRPr="0084328F">
              <w:rPr>
                <w:rStyle w:val="Hyperlink"/>
                <w:sz w:val="14"/>
                <w:szCs w:val="14"/>
              </w:rPr>
              <w:t>Introdução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70"/>
            <w:rPr>
              <w:rStyle w:val="Hyperlink"/>
              <w:sz w:val="14"/>
              <w:szCs w:val="14"/>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F370A" w:rsidRPr="0084328F" w:rsidRDefault="00EA64EF" w:rsidP="000F370A">
          <w:pPr>
            <w:pStyle w:val="ProductList-OfferingBody"/>
            <w:ind w:left="-72" w:right="-75"/>
            <w:jc w:val="center"/>
            <w:rPr>
              <w:rStyle w:val="Hyperlink"/>
              <w:sz w:val="14"/>
              <w:szCs w:val="14"/>
            </w:rPr>
          </w:pPr>
          <w:hyperlink w:anchor="GeneralTerms" w:history="1">
            <w:r w:rsidR="000F370A" w:rsidRPr="0084328F">
              <w:rPr>
                <w:rStyle w:val="Hyperlink"/>
                <w:sz w:val="14"/>
                <w:szCs w:val="14"/>
              </w:rPr>
              <w:t>Termos Gerais</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9"/>
            <w:jc w:val="center"/>
            <w:rPr>
              <w:rStyle w:val="Hyperlink"/>
              <w:sz w:val="14"/>
              <w:szCs w:val="14"/>
            </w:rPr>
          </w:pPr>
          <w:r w:rsidRPr="00C76DF3">
            <w:rPr>
              <w:rFonts w:ascii="Wingdings" w:hAnsi="Wingdings" w:cs="Wingdings"/>
              <w:color w:val="808080" w:themeColor="background1" w:themeShade="80"/>
              <w:sz w:val="14"/>
              <w:szCs w:val="14"/>
            </w:rPr>
            <w:t></w:t>
          </w:r>
        </w:p>
      </w:tc>
      <w:tc>
        <w:tcPr>
          <w:tcW w:w="22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370A" w:rsidRPr="0084328F" w:rsidRDefault="00EA64EF" w:rsidP="000F370A">
          <w:pPr>
            <w:pStyle w:val="ProductList-OfferingBody"/>
            <w:ind w:left="-72" w:right="-77"/>
            <w:jc w:val="center"/>
            <w:rPr>
              <w:rStyle w:val="Hyperlink"/>
              <w:sz w:val="14"/>
              <w:szCs w:val="14"/>
            </w:rPr>
          </w:pPr>
          <w:hyperlink w:anchor="PrivacyandSecurityTerms" w:history="1">
            <w:r w:rsidR="000F370A" w:rsidRPr="0084328F">
              <w:rPr>
                <w:rStyle w:val="Hyperlink"/>
                <w:sz w:val="14"/>
                <w:szCs w:val="14"/>
              </w:rPr>
              <w:t>Termos de Privacidade e Segurança</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7"/>
            <w:jc w:val="center"/>
            <w:rPr>
              <w:rStyle w:val="Hyperlink"/>
              <w:sz w:val="14"/>
              <w:szCs w:val="14"/>
            </w:rPr>
          </w:pPr>
          <w:r w:rsidRPr="00C76DF3">
            <w:rPr>
              <w:rFonts w:ascii="Wingdings" w:hAnsi="Wingdings" w:cs="Wingdings"/>
              <w:color w:val="808080" w:themeColor="background1" w:themeShade="80"/>
              <w:sz w:val="14"/>
              <w:szCs w:val="14"/>
            </w:rPr>
            <w:t></w:t>
          </w:r>
        </w:p>
      </w:tc>
      <w:tc>
        <w:tcPr>
          <w:tcW w:w="24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144" w:type="dxa"/>
            <w:right w:w="144" w:type="dxa"/>
          </w:tcMar>
          <w:vAlign w:val="center"/>
        </w:tcPr>
        <w:p w:rsidR="000F370A" w:rsidRPr="0084328F" w:rsidRDefault="00EA64EF" w:rsidP="000F370A">
          <w:pPr>
            <w:pStyle w:val="ProductList-OfferingBody"/>
            <w:ind w:left="-72" w:right="-77"/>
            <w:jc w:val="center"/>
            <w:rPr>
              <w:rStyle w:val="Hyperlink"/>
              <w:sz w:val="14"/>
              <w:szCs w:val="14"/>
            </w:rPr>
          </w:pPr>
          <w:hyperlink w:anchor="OnlineServiceSpecificTerms" w:history="1">
            <w:r w:rsidR="000F370A" w:rsidRPr="0084328F">
              <w:rPr>
                <w:rStyle w:val="Hyperlink"/>
                <w:sz w:val="14"/>
                <w:szCs w:val="14"/>
              </w:rPr>
              <w:t>Termos Específicos dos Serviços Online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7"/>
            <w:jc w:val="center"/>
            <w:rPr>
              <w:rStyle w:val="Hyperlink"/>
              <w:sz w:val="14"/>
              <w:szCs w:val="14"/>
            </w:rPr>
          </w:pPr>
          <w:r w:rsidRPr="00C76DF3">
            <w:rPr>
              <w:rFonts w:ascii="Wingdings" w:hAnsi="Wingdings" w:cs="Wingdings"/>
              <w:color w:val="808080" w:themeColor="background1" w:themeShade="80"/>
              <w:sz w:val="14"/>
              <w:szCs w:val="14"/>
            </w:rPr>
            <w:t></w:t>
          </w:r>
        </w:p>
      </w:tc>
      <w:tc>
        <w:tcPr>
          <w:tcW w:w="11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370A" w:rsidRPr="0084328F" w:rsidRDefault="00EA64EF" w:rsidP="000F370A">
          <w:pPr>
            <w:pStyle w:val="ProductList-OfferingBody"/>
            <w:ind w:left="-72" w:right="-76"/>
            <w:jc w:val="center"/>
            <w:rPr>
              <w:rStyle w:val="Hyperlink"/>
              <w:sz w:val="14"/>
              <w:szCs w:val="14"/>
            </w:rPr>
          </w:pPr>
          <w:hyperlink w:anchor="Attachment1" w:history="1">
            <w:r w:rsidR="000F370A" w:rsidRPr="0084328F">
              <w:rPr>
                <w:rStyle w:val="Hyperlink"/>
                <w:sz w:val="14"/>
                <w:szCs w:val="14"/>
              </w:rPr>
              <w:t>Anexo</w:t>
            </w:r>
          </w:hyperlink>
        </w:p>
      </w:tc>
    </w:tr>
  </w:tbl>
  <w:p w:rsidR="000F370A" w:rsidRPr="00ED05FC" w:rsidRDefault="000F370A" w:rsidP="00DE2C3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368"/>
      <w:gridCol w:w="189"/>
      <w:gridCol w:w="1404"/>
      <w:gridCol w:w="180"/>
      <w:gridCol w:w="1350"/>
      <w:gridCol w:w="189"/>
      <w:gridCol w:w="2214"/>
      <w:gridCol w:w="171"/>
      <w:gridCol w:w="2430"/>
      <w:gridCol w:w="189"/>
      <w:gridCol w:w="1107"/>
    </w:tblGrid>
    <w:tr w:rsidR="000F370A" w:rsidRPr="0032093E" w:rsidTr="00DE2C32">
      <w:tc>
        <w:tcPr>
          <w:tcW w:w="13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7" w:right="-73"/>
            <w:jc w:val="center"/>
            <w:rPr>
              <w:rStyle w:val="Hyperlink"/>
              <w:sz w:val="14"/>
              <w:szCs w:val="14"/>
            </w:rPr>
          </w:pPr>
          <w:hyperlink w:anchor="TableofContents" w:history="1">
            <w:r w:rsidR="000F370A" w:rsidRPr="0084328F">
              <w:rPr>
                <w:rStyle w:val="Hyperlink"/>
                <w:sz w:val="14"/>
                <w:szCs w:val="14"/>
              </w:rPr>
              <w:t>Sumário</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71"/>
            <w:rPr>
              <w:rStyle w:val="Hyperlink"/>
              <w:sz w:val="14"/>
              <w:szCs w:val="14"/>
            </w:rPr>
          </w:pPr>
          <w:r w:rsidRPr="00C76DF3">
            <w:rPr>
              <w:rFonts w:ascii="Wingdings" w:hAnsi="Wingdings" w:cs="Wingdings"/>
              <w:color w:val="808080" w:themeColor="background1" w:themeShade="80"/>
              <w:sz w:val="14"/>
              <w:szCs w:val="14"/>
            </w:rPr>
            <w:t></w:t>
          </w:r>
        </w:p>
      </w:tc>
      <w:tc>
        <w:tcPr>
          <w:tcW w:w="14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2" w:right="-74"/>
            <w:jc w:val="center"/>
            <w:rPr>
              <w:rStyle w:val="Hyperlink"/>
              <w:sz w:val="14"/>
              <w:szCs w:val="14"/>
            </w:rPr>
          </w:pPr>
          <w:hyperlink w:anchor="Introduction" w:history="1">
            <w:r w:rsidR="000F370A" w:rsidRPr="0084328F">
              <w:rPr>
                <w:rStyle w:val="Hyperlink"/>
                <w:sz w:val="14"/>
                <w:szCs w:val="14"/>
              </w:rPr>
              <w:t>Introdução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70"/>
            <w:rPr>
              <w:rStyle w:val="Hyperlink"/>
              <w:sz w:val="14"/>
              <w:szCs w:val="14"/>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F370A" w:rsidRPr="0084328F" w:rsidRDefault="00EA64EF" w:rsidP="000F370A">
          <w:pPr>
            <w:pStyle w:val="ProductList-OfferingBody"/>
            <w:ind w:left="-72" w:right="-75"/>
            <w:jc w:val="center"/>
            <w:rPr>
              <w:rStyle w:val="Hyperlink"/>
              <w:sz w:val="14"/>
              <w:szCs w:val="14"/>
            </w:rPr>
          </w:pPr>
          <w:hyperlink w:anchor="GeneralTerms" w:history="1">
            <w:r w:rsidR="000F370A" w:rsidRPr="0084328F">
              <w:rPr>
                <w:rStyle w:val="Hyperlink"/>
                <w:sz w:val="14"/>
                <w:szCs w:val="14"/>
              </w:rPr>
              <w:t>Termos Gerais</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9"/>
            <w:jc w:val="center"/>
            <w:rPr>
              <w:rStyle w:val="Hyperlink"/>
              <w:sz w:val="14"/>
              <w:szCs w:val="14"/>
            </w:rPr>
          </w:pPr>
          <w:r w:rsidRPr="00C76DF3">
            <w:rPr>
              <w:rFonts w:ascii="Wingdings" w:hAnsi="Wingdings" w:cs="Wingdings"/>
              <w:color w:val="808080" w:themeColor="background1" w:themeShade="80"/>
              <w:sz w:val="14"/>
              <w:szCs w:val="14"/>
            </w:rPr>
            <w:t></w:t>
          </w:r>
        </w:p>
      </w:tc>
      <w:tc>
        <w:tcPr>
          <w:tcW w:w="22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370A" w:rsidRPr="0084328F" w:rsidRDefault="00EA64EF" w:rsidP="000F370A">
          <w:pPr>
            <w:pStyle w:val="ProductList-OfferingBody"/>
            <w:ind w:left="-72" w:right="-77"/>
            <w:jc w:val="center"/>
            <w:rPr>
              <w:rStyle w:val="Hyperlink"/>
              <w:sz w:val="14"/>
              <w:szCs w:val="14"/>
            </w:rPr>
          </w:pPr>
          <w:hyperlink w:anchor="PrivacyandSecurityTerms" w:history="1">
            <w:r w:rsidR="000F370A" w:rsidRPr="0084328F">
              <w:rPr>
                <w:rStyle w:val="Hyperlink"/>
                <w:sz w:val="14"/>
                <w:szCs w:val="14"/>
              </w:rPr>
              <w:t>Termos de Privacidade e Segurança</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7"/>
            <w:jc w:val="center"/>
            <w:rPr>
              <w:rStyle w:val="Hyperlink"/>
              <w:sz w:val="14"/>
              <w:szCs w:val="14"/>
            </w:rPr>
          </w:pPr>
          <w:r w:rsidRPr="00C76DF3">
            <w:rPr>
              <w:rFonts w:ascii="Wingdings" w:hAnsi="Wingdings" w:cs="Wingdings"/>
              <w:color w:val="808080" w:themeColor="background1" w:themeShade="80"/>
              <w:sz w:val="14"/>
              <w:szCs w:val="14"/>
            </w:rPr>
            <w:t></w:t>
          </w:r>
        </w:p>
      </w:tc>
      <w:tc>
        <w:tcPr>
          <w:tcW w:w="24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144" w:type="dxa"/>
            <w:right w:w="144" w:type="dxa"/>
          </w:tcMar>
          <w:vAlign w:val="center"/>
        </w:tcPr>
        <w:p w:rsidR="000F370A" w:rsidRPr="0084328F" w:rsidRDefault="00EA64EF" w:rsidP="000F370A">
          <w:pPr>
            <w:pStyle w:val="ProductList-OfferingBody"/>
            <w:ind w:left="-72" w:right="-77"/>
            <w:jc w:val="center"/>
            <w:rPr>
              <w:rStyle w:val="Hyperlink"/>
              <w:sz w:val="14"/>
              <w:szCs w:val="14"/>
            </w:rPr>
          </w:pPr>
          <w:hyperlink w:anchor="OnlineServiceSpecificTerms" w:history="1">
            <w:r w:rsidR="000F370A" w:rsidRPr="0084328F">
              <w:rPr>
                <w:rStyle w:val="Hyperlink"/>
                <w:sz w:val="14"/>
                <w:szCs w:val="14"/>
              </w:rPr>
              <w:t>Termos Específicos dos Serviços Online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7"/>
            <w:jc w:val="center"/>
            <w:rPr>
              <w:rStyle w:val="Hyperlink"/>
              <w:sz w:val="14"/>
              <w:szCs w:val="14"/>
            </w:rPr>
          </w:pPr>
          <w:r w:rsidRPr="00C76DF3">
            <w:rPr>
              <w:rFonts w:ascii="Wingdings" w:hAnsi="Wingdings" w:cs="Wingdings"/>
              <w:color w:val="808080" w:themeColor="background1" w:themeShade="80"/>
              <w:sz w:val="14"/>
              <w:szCs w:val="14"/>
            </w:rPr>
            <w:t></w:t>
          </w:r>
        </w:p>
      </w:tc>
      <w:tc>
        <w:tcPr>
          <w:tcW w:w="11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370A" w:rsidRPr="0084328F" w:rsidRDefault="00EA64EF" w:rsidP="000F370A">
          <w:pPr>
            <w:pStyle w:val="ProductList-OfferingBody"/>
            <w:ind w:left="-72" w:right="-76"/>
            <w:jc w:val="center"/>
            <w:rPr>
              <w:rStyle w:val="Hyperlink"/>
              <w:sz w:val="14"/>
              <w:szCs w:val="14"/>
            </w:rPr>
          </w:pPr>
          <w:hyperlink w:anchor="Attachment1" w:history="1">
            <w:r w:rsidR="000F370A" w:rsidRPr="0084328F">
              <w:rPr>
                <w:rStyle w:val="Hyperlink"/>
                <w:sz w:val="14"/>
                <w:szCs w:val="14"/>
              </w:rPr>
              <w:t>Anexo</w:t>
            </w:r>
          </w:hyperlink>
        </w:p>
      </w:tc>
    </w:tr>
  </w:tbl>
  <w:p w:rsidR="000F370A" w:rsidRPr="00ED05FC" w:rsidRDefault="000F370A" w:rsidP="00DE2C32">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368"/>
      <w:gridCol w:w="189"/>
      <w:gridCol w:w="1404"/>
      <w:gridCol w:w="180"/>
      <w:gridCol w:w="1350"/>
      <w:gridCol w:w="189"/>
      <w:gridCol w:w="2214"/>
      <w:gridCol w:w="171"/>
      <w:gridCol w:w="2430"/>
      <w:gridCol w:w="189"/>
      <w:gridCol w:w="1107"/>
    </w:tblGrid>
    <w:tr w:rsidR="000F370A" w:rsidRPr="0032093E" w:rsidTr="000F370A">
      <w:tc>
        <w:tcPr>
          <w:tcW w:w="13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7" w:right="-73"/>
            <w:jc w:val="center"/>
            <w:rPr>
              <w:rStyle w:val="Hyperlink"/>
              <w:sz w:val="14"/>
              <w:szCs w:val="14"/>
            </w:rPr>
          </w:pPr>
          <w:hyperlink w:anchor="TableofContents" w:history="1">
            <w:r w:rsidR="000F370A" w:rsidRPr="0084328F">
              <w:rPr>
                <w:rStyle w:val="Hyperlink"/>
                <w:sz w:val="14"/>
                <w:szCs w:val="14"/>
              </w:rPr>
              <w:t>Sumário</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71"/>
            <w:rPr>
              <w:rStyle w:val="Hyperlink"/>
              <w:sz w:val="14"/>
              <w:szCs w:val="14"/>
            </w:rPr>
          </w:pPr>
          <w:r w:rsidRPr="00C76DF3">
            <w:rPr>
              <w:rFonts w:ascii="Wingdings" w:hAnsi="Wingdings" w:cs="Wingdings"/>
              <w:color w:val="808080" w:themeColor="background1" w:themeShade="80"/>
              <w:sz w:val="14"/>
              <w:szCs w:val="14"/>
            </w:rPr>
            <w:t></w:t>
          </w:r>
        </w:p>
      </w:tc>
      <w:tc>
        <w:tcPr>
          <w:tcW w:w="14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2" w:right="-74"/>
            <w:jc w:val="center"/>
            <w:rPr>
              <w:rStyle w:val="Hyperlink"/>
              <w:sz w:val="14"/>
              <w:szCs w:val="14"/>
            </w:rPr>
          </w:pPr>
          <w:hyperlink w:anchor="Introduction" w:history="1">
            <w:r w:rsidR="000F370A" w:rsidRPr="0084328F">
              <w:rPr>
                <w:rStyle w:val="Hyperlink"/>
                <w:sz w:val="14"/>
                <w:szCs w:val="14"/>
              </w:rPr>
              <w:t>Introdução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70"/>
            <w:rPr>
              <w:rStyle w:val="Hyperlink"/>
              <w:sz w:val="14"/>
              <w:szCs w:val="14"/>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2" w:right="-75"/>
            <w:jc w:val="center"/>
            <w:rPr>
              <w:rStyle w:val="Hyperlink"/>
              <w:sz w:val="14"/>
              <w:szCs w:val="14"/>
            </w:rPr>
          </w:pPr>
          <w:hyperlink w:anchor="GeneralTerms" w:history="1">
            <w:r w:rsidR="000F370A" w:rsidRPr="0084328F">
              <w:rPr>
                <w:rStyle w:val="Hyperlink"/>
                <w:sz w:val="14"/>
                <w:szCs w:val="14"/>
              </w:rPr>
              <w:t>Termos Gerais</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9"/>
            <w:jc w:val="center"/>
            <w:rPr>
              <w:rStyle w:val="Hyperlink"/>
              <w:sz w:val="14"/>
              <w:szCs w:val="14"/>
            </w:rPr>
          </w:pPr>
          <w:r w:rsidRPr="00C76DF3">
            <w:rPr>
              <w:rFonts w:ascii="Wingdings" w:hAnsi="Wingdings" w:cs="Wingdings"/>
              <w:color w:val="808080" w:themeColor="background1" w:themeShade="80"/>
              <w:sz w:val="14"/>
              <w:szCs w:val="14"/>
            </w:rPr>
            <w:t></w:t>
          </w:r>
        </w:p>
      </w:tc>
      <w:tc>
        <w:tcPr>
          <w:tcW w:w="22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F370A" w:rsidRPr="0084328F" w:rsidRDefault="00EA64EF" w:rsidP="000F370A">
          <w:pPr>
            <w:pStyle w:val="ProductList-OfferingBody"/>
            <w:ind w:left="-72" w:right="-77"/>
            <w:jc w:val="center"/>
            <w:rPr>
              <w:rStyle w:val="Hyperlink"/>
              <w:sz w:val="14"/>
              <w:szCs w:val="14"/>
            </w:rPr>
          </w:pPr>
          <w:hyperlink w:anchor="PrivacyandSecurityTerms" w:history="1">
            <w:r w:rsidR="000F370A" w:rsidRPr="0084328F">
              <w:rPr>
                <w:rStyle w:val="Hyperlink"/>
                <w:sz w:val="14"/>
                <w:szCs w:val="14"/>
              </w:rPr>
              <w:t>Termos de Privacidade e Segurança</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7"/>
            <w:jc w:val="center"/>
            <w:rPr>
              <w:rStyle w:val="Hyperlink"/>
              <w:sz w:val="14"/>
              <w:szCs w:val="14"/>
            </w:rPr>
          </w:pPr>
          <w:r w:rsidRPr="00C76DF3">
            <w:rPr>
              <w:rFonts w:ascii="Wingdings" w:hAnsi="Wingdings" w:cs="Wingdings"/>
              <w:color w:val="808080" w:themeColor="background1" w:themeShade="80"/>
              <w:sz w:val="14"/>
              <w:szCs w:val="14"/>
            </w:rPr>
            <w:t></w:t>
          </w:r>
        </w:p>
      </w:tc>
      <w:tc>
        <w:tcPr>
          <w:tcW w:w="24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144" w:type="dxa"/>
            <w:right w:w="144" w:type="dxa"/>
          </w:tcMar>
          <w:vAlign w:val="center"/>
        </w:tcPr>
        <w:p w:rsidR="000F370A" w:rsidRPr="0084328F" w:rsidRDefault="00EA64EF" w:rsidP="000F370A">
          <w:pPr>
            <w:pStyle w:val="ProductList-OfferingBody"/>
            <w:ind w:left="-72" w:right="-77"/>
            <w:jc w:val="center"/>
            <w:rPr>
              <w:rStyle w:val="Hyperlink"/>
              <w:sz w:val="14"/>
              <w:szCs w:val="14"/>
            </w:rPr>
          </w:pPr>
          <w:hyperlink w:anchor="OnlineServiceSpecificTerms" w:history="1">
            <w:r w:rsidR="000F370A" w:rsidRPr="0084328F">
              <w:rPr>
                <w:rStyle w:val="Hyperlink"/>
                <w:sz w:val="14"/>
                <w:szCs w:val="14"/>
              </w:rPr>
              <w:t>Termos Específicos dos Serviços Online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7"/>
            <w:jc w:val="center"/>
            <w:rPr>
              <w:rStyle w:val="Hyperlink"/>
              <w:sz w:val="14"/>
              <w:szCs w:val="14"/>
            </w:rPr>
          </w:pPr>
          <w:r w:rsidRPr="00C76DF3">
            <w:rPr>
              <w:rFonts w:ascii="Wingdings" w:hAnsi="Wingdings" w:cs="Wingdings"/>
              <w:color w:val="808080" w:themeColor="background1" w:themeShade="80"/>
              <w:sz w:val="14"/>
              <w:szCs w:val="14"/>
            </w:rPr>
            <w:t></w:t>
          </w:r>
        </w:p>
      </w:tc>
      <w:tc>
        <w:tcPr>
          <w:tcW w:w="11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370A" w:rsidRPr="0084328F" w:rsidRDefault="00EA64EF" w:rsidP="000F370A">
          <w:pPr>
            <w:pStyle w:val="ProductList-OfferingBody"/>
            <w:ind w:left="-72" w:right="-76"/>
            <w:jc w:val="center"/>
            <w:rPr>
              <w:rStyle w:val="Hyperlink"/>
              <w:sz w:val="14"/>
              <w:szCs w:val="14"/>
            </w:rPr>
          </w:pPr>
          <w:hyperlink w:anchor="Attachment1" w:history="1">
            <w:r w:rsidR="000F370A" w:rsidRPr="0084328F">
              <w:rPr>
                <w:rStyle w:val="Hyperlink"/>
                <w:sz w:val="14"/>
                <w:szCs w:val="14"/>
              </w:rPr>
              <w:t>Anexo</w:t>
            </w:r>
          </w:hyperlink>
        </w:p>
      </w:tc>
    </w:tr>
  </w:tbl>
  <w:p w:rsidR="000F370A" w:rsidRPr="00ED05FC" w:rsidRDefault="000F370A" w:rsidP="00DE2C32">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368"/>
      <w:gridCol w:w="189"/>
      <w:gridCol w:w="1404"/>
      <w:gridCol w:w="180"/>
      <w:gridCol w:w="1350"/>
      <w:gridCol w:w="189"/>
      <w:gridCol w:w="2214"/>
      <w:gridCol w:w="171"/>
      <w:gridCol w:w="2430"/>
      <w:gridCol w:w="189"/>
      <w:gridCol w:w="1107"/>
    </w:tblGrid>
    <w:tr w:rsidR="000F370A" w:rsidRPr="0032093E" w:rsidTr="00DE2C32">
      <w:tc>
        <w:tcPr>
          <w:tcW w:w="13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7" w:right="-73"/>
            <w:jc w:val="center"/>
            <w:rPr>
              <w:rStyle w:val="Hyperlink"/>
              <w:sz w:val="14"/>
              <w:szCs w:val="14"/>
            </w:rPr>
          </w:pPr>
          <w:hyperlink w:anchor="TableofContents" w:history="1">
            <w:r w:rsidR="000F370A" w:rsidRPr="0084328F">
              <w:rPr>
                <w:rStyle w:val="Hyperlink"/>
                <w:sz w:val="14"/>
                <w:szCs w:val="14"/>
              </w:rPr>
              <w:t>Sumário</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71"/>
            <w:rPr>
              <w:rStyle w:val="Hyperlink"/>
              <w:sz w:val="14"/>
              <w:szCs w:val="14"/>
            </w:rPr>
          </w:pPr>
          <w:r w:rsidRPr="00C76DF3">
            <w:rPr>
              <w:rFonts w:ascii="Wingdings" w:hAnsi="Wingdings" w:cs="Wingdings"/>
              <w:color w:val="808080" w:themeColor="background1" w:themeShade="80"/>
              <w:sz w:val="14"/>
              <w:szCs w:val="14"/>
            </w:rPr>
            <w:t></w:t>
          </w:r>
        </w:p>
      </w:tc>
      <w:tc>
        <w:tcPr>
          <w:tcW w:w="14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2" w:right="-74"/>
            <w:jc w:val="center"/>
            <w:rPr>
              <w:rStyle w:val="Hyperlink"/>
              <w:sz w:val="14"/>
              <w:szCs w:val="14"/>
            </w:rPr>
          </w:pPr>
          <w:hyperlink w:anchor="Introduction" w:history="1">
            <w:r w:rsidR="000F370A" w:rsidRPr="0084328F">
              <w:rPr>
                <w:rStyle w:val="Hyperlink"/>
                <w:sz w:val="14"/>
                <w:szCs w:val="14"/>
              </w:rPr>
              <w:t>Introdução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70"/>
            <w:rPr>
              <w:rStyle w:val="Hyperlink"/>
              <w:sz w:val="14"/>
              <w:szCs w:val="14"/>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2" w:right="-75"/>
            <w:jc w:val="center"/>
            <w:rPr>
              <w:rStyle w:val="Hyperlink"/>
              <w:sz w:val="14"/>
              <w:szCs w:val="14"/>
            </w:rPr>
          </w:pPr>
          <w:hyperlink w:anchor="GeneralTerms" w:history="1">
            <w:r w:rsidR="000F370A" w:rsidRPr="0084328F">
              <w:rPr>
                <w:rStyle w:val="Hyperlink"/>
                <w:sz w:val="14"/>
                <w:szCs w:val="14"/>
              </w:rPr>
              <w:t>Termos Gerais</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9"/>
            <w:jc w:val="center"/>
            <w:rPr>
              <w:rStyle w:val="Hyperlink"/>
              <w:sz w:val="14"/>
              <w:szCs w:val="14"/>
            </w:rPr>
          </w:pPr>
          <w:r w:rsidRPr="00C76DF3">
            <w:rPr>
              <w:rFonts w:ascii="Wingdings" w:hAnsi="Wingdings" w:cs="Wingdings"/>
              <w:color w:val="808080" w:themeColor="background1" w:themeShade="80"/>
              <w:sz w:val="14"/>
              <w:szCs w:val="14"/>
            </w:rPr>
            <w:t></w:t>
          </w:r>
        </w:p>
      </w:tc>
      <w:tc>
        <w:tcPr>
          <w:tcW w:w="22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F370A" w:rsidRPr="0084328F" w:rsidRDefault="00EA64EF" w:rsidP="000F370A">
          <w:pPr>
            <w:pStyle w:val="ProductList-OfferingBody"/>
            <w:ind w:left="-72" w:right="-77"/>
            <w:jc w:val="center"/>
            <w:rPr>
              <w:rStyle w:val="Hyperlink"/>
              <w:sz w:val="14"/>
              <w:szCs w:val="14"/>
            </w:rPr>
          </w:pPr>
          <w:hyperlink w:anchor="PrivacyandSecurityTerms" w:history="1">
            <w:r w:rsidR="000F370A" w:rsidRPr="0084328F">
              <w:rPr>
                <w:rStyle w:val="Hyperlink"/>
                <w:sz w:val="14"/>
                <w:szCs w:val="14"/>
              </w:rPr>
              <w:t>Termos de Privacidade e Segurança</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7"/>
            <w:jc w:val="center"/>
            <w:rPr>
              <w:rStyle w:val="Hyperlink"/>
              <w:sz w:val="14"/>
              <w:szCs w:val="14"/>
            </w:rPr>
          </w:pPr>
          <w:r w:rsidRPr="00C76DF3">
            <w:rPr>
              <w:rFonts w:ascii="Wingdings" w:hAnsi="Wingdings" w:cs="Wingdings"/>
              <w:color w:val="808080" w:themeColor="background1" w:themeShade="80"/>
              <w:sz w:val="14"/>
              <w:szCs w:val="14"/>
            </w:rPr>
            <w:t></w:t>
          </w:r>
        </w:p>
      </w:tc>
      <w:tc>
        <w:tcPr>
          <w:tcW w:w="24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144" w:type="dxa"/>
            <w:right w:w="144" w:type="dxa"/>
          </w:tcMar>
          <w:vAlign w:val="center"/>
        </w:tcPr>
        <w:p w:rsidR="000F370A" w:rsidRPr="0084328F" w:rsidRDefault="00EA64EF" w:rsidP="000F370A">
          <w:pPr>
            <w:pStyle w:val="ProductList-OfferingBody"/>
            <w:ind w:left="-72" w:right="-77"/>
            <w:jc w:val="center"/>
            <w:rPr>
              <w:rStyle w:val="Hyperlink"/>
              <w:sz w:val="14"/>
              <w:szCs w:val="14"/>
            </w:rPr>
          </w:pPr>
          <w:hyperlink w:anchor="OnlineServiceSpecificTerms" w:history="1">
            <w:r w:rsidR="000F370A" w:rsidRPr="0084328F">
              <w:rPr>
                <w:rStyle w:val="Hyperlink"/>
                <w:sz w:val="14"/>
                <w:szCs w:val="14"/>
              </w:rPr>
              <w:t>Termos Específicos dos Serviços Online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7"/>
            <w:jc w:val="center"/>
            <w:rPr>
              <w:rStyle w:val="Hyperlink"/>
              <w:sz w:val="14"/>
              <w:szCs w:val="14"/>
            </w:rPr>
          </w:pPr>
          <w:r w:rsidRPr="00C76DF3">
            <w:rPr>
              <w:rFonts w:ascii="Wingdings" w:hAnsi="Wingdings" w:cs="Wingdings"/>
              <w:color w:val="808080" w:themeColor="background1" w:themeShade="80"/>
              <w:sz w:val="14"/>
              <w:szCs w:val="14"/>
            </w:rPr>
            <w:t></w:t>
          </w:r>
        </w:p>
      </w:tc>
      <w:tc>
        <w:tcPr>
          <w:tcW w:w="11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370A" w:rsidRPr="0084328F" w:rsidRDefault="00EA64EF" w:rsidP="000F370A">
          <w:pPr>
            <w:pStyle w:val="ProductList-OfferingBody"/>
            <w:ind w:left="-72" w:right="-76"/>
            <w:jc w:val="center"/>
            <w:rPr>
              <w:rStyle w:val="Hyperlink"/>
              <w:sz w:val="14"/>
              <w:szCs w:val="14"/>
            </w:rPr>
          </w:pPr>
          <w:hyperlink w:anchor="Attachment1" w:history="1">
            <w:r w:rsidR="000F370A" w:rsidRPr="0084328F">
              <w:rPr>
                <w:rStyle w:val="Hyperlink"/>
                <w:sz w:val="14"/>
                <w:szCs w:val="14"/>
              </w:rPr>
              <w:t>Anexo</w:t>
            </w:r>
          </w:hyperlink>
        </w:p>
      </w:tc>
    </w:tr>
  </w:tbl>
  <w:p w:rsidR="000F370A" w:rsidRPr="00ED05FC" w:rsidRDefault="000F370A" w:rsidP="00DE2C32">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368"/>
      <w:gridCol w:w="189"/>
      <w:gridCol w:w="1404"/>
      <w:gridCol w:w="180"/>
      <w:gridCol w:w="1350"/>
      <w:gridCol w:w="189"/>
      <w:gridCol w:w="2214"/>
      <w:gridCol w:w="171"/>
      <w:gridCol w:w="2430"/>
      <w:gridCol w:w="189"/>
      <w:gridCol w:w="1107"/>
    </w:tblGrid>
    <w:tr w:rsidR="000F370A" w:rsidRPr="0032093E" w:rsidTr="000F370A">
      <w:tc>
        <w:tcPr>
          <w:tcW w:w="13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7" w:right="-73"/>
            <w:jc w:val="center"/>
            <w:rPr>
              <w:rStyle w:val="Hyperlink"/>
              <w:sz w:val="14"/>
              <w:szCs w:val="14"/>
            </w:rPr>
          </w:pPr>
          <w:hyperlink w:anchor="TableofContents" w:history="1">
            <w:r w:rsidR="000F370A" w:rsidRPr="0084328F">
              <w:rPr>
                <w:rStyle w:val="Hyperlink"/>
                <w:sz w:val="14"/>
                <w:szCs w:val="14"/>
              </w:rPr>
              <w:t>Sumário</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71"/>
            <w:rPr>
              <w:rStyle w:val="Hyperlink"/>
              <w:sz w:val="14"/>
              <w:szCs w:val="14"/>
            </w:rPr>
          </w:pPr>
          <w:r w:rsidRPr="00C76DF3">
            <w:rPr>
              <w:rFonts w:ascii="Wingdings" w:hAnsi="Wingdings" w:cs="Wingdings"/>
              <w:color w:val="808080" w:themeColor="background1" w:themeShade="80"/>
              <w:sz w:val="14"/>
              <w:szCs w:val="14"/>
            </w:rPr>
            <w:t></w:t>
          </w:r>
        </w:p>
      </w:tc>
      <w:tc>
        <w:tcPr>
          <w:tcW w:w="14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2" w:right="-74"/>
            <w:jc w:val="center"/>
            <w:rPr>
              <w:rStyle w:val="Hyperlink"/>
              <w:sz w:val="14"/>
              <w:szCs w:val="14"/>
            </w:rPr>
          </w:pPr>
          <w:hyperlink w:anchor="Introduction" w:history="1">
            <w:r w:rsidR="000F370A" w:rsidRPr="0084328F">
              <w:rPr>
                <w:rStyle w:val="Hyperlink"/>
                <w:sz w:val="14"/>
                <w:szCs w:val="14"/>
              </w:rPr>
              <w:t>Introdução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70"/>
            <w:rPr>
              <w:rStyle w:val="Hyperlink"/>
              <w:sz w:val="14"/>
              <w:szCs w:val="14"/>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2" w:right="-75"/>
            <w:jc w:val="center"/>
            <w:rPr>
              <w:rStyle w:val="Hyperlink"/>
              <w:sz w:val="14"/>
              <w:szCs w:val="14"/>
            </w:rPr>
          </w:pPr>
          <w:hyperlink w:anchor="GeneralTerms" w:history="1">
            <w:r w:rsidR="000F370A" w:rsidRPr="0084328F">
              <w:rPr>
                <w:rStyle w:val="Hyperlink"/>
                <w:sz w:val="14"/>
                <w:szCs w:val="14"/>
              </w:rPr>
              <w:t>Termos Gerais</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9"/>
            <w:jc w:val="center"/>
            <w:rPr>
              <w:rStyle w:val="Hyperlink"/>
              <w:sz w:val="14"/>
              <w:szCs w:val="14"/>
            </w:rPr>
          </w:pPr>
          <w:r w:rsidRPr="00C76DF3">
            <w:rPr>
              <w:rFonts w:ascii="Wingdings" w:hAnsi="Wingdings" w:cs="Wingdings"/>
              <w:color w:val="808080" w:themeColor="background1" w:themeShade="80"/>
              <w:sz w:val="14"/>
              <w:szCs w:val="14"/>
            </w:rPr>
            <w:t></w:t>
          </w:r>
        </w:p>
      </w:tc>
      <w:tc>
        <w:tcPr>
          <w:tcW w:w="22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2" w:right="-77"/>
            <w:jc w:val="center"/>
            <w:rPr>
              <w:rStyle w:val="Hyperlink"/>
              <w:sz w:val="14"/>
              <w:szCs w:val="14"/>
            </w:rPr>
          </w:pPr>
          <w:hyperlink w:anchor="PrivacyandSecurityTerms" w:history="1">
            <w:r w:rsidR="000F370A" w:rsidRPr="0084328F">
              <w:rPr>
                <w:rStyle w:val="Hyperlink"/>
                <w:sz w:val="14"/>
                <w:szCs w:val="14"/>
              </w:rPr>
              <w:t>Termos de Privacidade e Segurança</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7"/>
            <w:jc w:val="center"/>
            <w:rPr>
              <w:rStyle w:val="Hyperlink"/>
              <w:sz w:val="14"/>
              <w:szCs w:val="14"/>
            </w:rPr>
          </w:pPr>
          <w:r w:rsidRPr="00C76DF3">
            <w:rPr>
              <w:rFonts w:ascii="Wingdings" w:hAnsi="Wingdings" w:cs="Wingdings"/>
              <w:color w:val="808080" w:themeColor="background1" w:themeShade="80"/>
              <w:sz w:val="14"/>
              <w:szCs w:val="14"/>
            </w:rPr>
            <w:t></w:t>
          </w:r>
        </w:p>
      </w:tc>
      <w:tc>
        <w:tcPr>
          <w:tcW w:w="24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cMar>
            <w:left w:w="144" w:type="dxa"/>
            <w:right w:w="144" w:type="dxa"/>
          </w:tcMar>
          <w:vAlign w:val="center"/>
        </w:tcPr>
        <w:p w:rsidR="000F370A" w:rsidRPr="0084328F" w:rsidRDefault="00EA64EF" w:rsidP="000F370A">
          <w:pPr>
            <w:pStyle w:val="ProductList-OfferingBody"/>
            <w:ind w:left="-72" w:right="-77"/>
            <w:jc w:val="center"/>
            <w:rPr>
              <w:rStyle w:val="Hyperlink"/>
              <w:sz w:val="14"/>
              <w:szCs w:val="14"/>
            </w:rPr>
          </w:pPr>
          <w:hyperlink w:anchor="OnlineServiceSpecificTerms" w:history="1">
            <w:r w:rsidR="000F370A" w:rsidRPr="0084328F">
              <w:rPr>
                <w:rStyle w:val="Hyperlink"/>
                <w:sz w:val="14"/>
                <w:szCs w:val="14"/>
              </w:rPr>
              <w:t>Termos Específicos dos Serviços Online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7"/>
            <w:jc w:val="center"/>
            <w:rPr>
              <w:rStyle w:val="Hyperlink"/>
              <w:sz w:val="14"/>
              <w:szCs w:val="14"/>
            </w:rPr>
          </w:pPr>
          <w:r w:rsidRPr="00C76DF3">
            <w:rPr>
              <w:rFonts w:ascii="Wingdings" w:hAnsi="Wingdings" w:cs="Wingdings"/>
              <w:color w:val="808080" w:themeColor="background1" w:themeShade="80"/>
              <w:sz w:val="14"/>
              <w:szCs w:val="14"/>
            </w:rPr>
            <w:t></w:t>
          </w:r>
        </w:p>
      </w:tc>
      <w:tc>
        <w:tcPr>
          <w:tcW w:w="11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370A" w:rsidRPr="0084328F" w:rsidRDefault="00EA64EF" w:rsidP="000F370A">
          <w:pPr>
            <w:pStyle w:val="ProductList-OfferingBody"/>
            <w:ind w:left="-72" w:right="-76"/>
            <w:jc w:val="center"/>
            <w:rPr>
              <w:rStyle w:val="Hyperlink"/>
              <w:sz w:val="14"/>
              <w:szCs w:val="14"/>
            </w:rPr>
          </w:pPr>
          <w:hyperlink w:anchor="Attachment1" w:history="1">
            <w:r w:rsidR="000F370A" w:rsidRPr="0084328F">
              <w:rPr>
                <w:rStyle w:val="Hyperlink"/>
                <w:sz w:val="14"/>
                <w:szCs w:val="14"/>
              </w:rPr>
              <w:t>Anexo</w:t>
            </w:r>
          </w:hyperlink>
        </w:p>
      </w:tc>
    </w:tr>
  </w:tbl>
  <w:p w:rsidR="000F370A" w:rsidRPr="00ED05FC" w:rsidRDefault="000F370A" w:rsidP="00DE2C32">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368"/>
      <w:gridCol w:w="189"/>
      <w:gridCol w:w="1404"/>
      <w:gridCol w:w="180"/>
      <w:gridCol w:w="1350"/>
      <w:gridCol w:w="189"/>
      <w:gridCol w:w="2214"/>
      <w:gridCol w:w="171"/>
      <w:gridCol w:w="2430"/>
      <w:gridCol w:w="189"/>
      <w:gridCol w:w="1107"/>
    </w:tblGrid>
    <w:tr w:rsidR="000F370A" w:rsidRPr="0032093E" w:rsidTr="00DE2C32">
      <w:tc>
        <w:tcPr>
          <w:tcW w:w="13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7" w:right="-73"/>
            <w:jc w:val="center"/>
            <w:rPr>
              <w:rStyle w:val="Hyperlink"/>
              <w:sz w:val="14"/>
              <w:szCs w:val="14"/>
            </w:rPr>
          </w:pPr>
          <w:hyperlink w:anchor="TableofContents" w:history="1">
            <w:r w:rsidR="000F370A" w:rsidRPr="0084328F">
              <w:rPr>
                <w:rStyle w:val="Hyperlink"/>
                <w:sz w:val="14"/>
                <w:szCs w:val="14"/>
              </w:rPr>
              <w:t>Sumário</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71"/>
            <w:rPr>
              <w:rStyle w:val="Hyperlink"/>
              <w:sz w:val="14"/>
              <w:szCs w:val="14"/>
            </w:rPr>
          </w:pPr>
          <w:r w:rsidRPr="00C76DF3">
            <w:rPr>
              <w:rFonts w:ascii="Wingdings" w:hAnsi="Wingdings" w:cs="Wingdings"/>
              <w:color w:val="808080" w:themeColor="background1" w:themeShade="80"/>
              <w:sz w:val="14"/>
              <w:szCs w:val="14"/>
            </w:rPr>
            <w:t></w:t>
          </w:r>
        </w:p>
      </w:tc>
      <w:tc>
        <w:tcPr>
          <w:tcW w:w="14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2" w:right="-74"/>
            <w:jc w:val="center"/>
            <w:rPr>
              <w:rStyle w:val="Hyperlink"/>
              <w:sz w:val="14"/>
              <w:szCs w:val="14"/>
            </w:rPr>
          </w:pPr>
          <w:hyperlink w:anchor="Introduction" w:history="1">
            <w:r w:rsidR="000F370A" w:rsidRPr="0084328F">
              <w:rPr>
                <w:rStyle w:val="Hyperlink"/>
                <w:sz w:val="14"/>
                <w:szCs w:val="14"/>
              </w:rPr>
              <w:t>Introdução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70"/>
            <w:rPr>
              <w:rStyle w:val="Hyperlink"/>
              <w:sz w:val="14"/>
              <w:szCs w:val="14"/>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2" w:right="-75"/>
            <w:jc w:val="center"/>
            <w:rPr>
              <w:rStyle w:val="Hyperlink"/>
              <w:sz w:val="14"/>
              <w:szCs w:val="14"/>
            </w:rPr>
          </w:pPr>
          <w:hyperlink w:anchor="GeneralTerms" w:history="1">
            <w:r w:rsidR="000F370A" w:rsidRPr="0084328F">
              <w:rPr>
                <w:rStyle w:val="Hyperlink"/>
                <w:sz w:val="14"/>
                <w:szCs w:val="14"/>
              </w:rPr>
              <w:t>Termos Gerais</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9"/>
            <w:jc w:val="center"/>
            <w:rPr>
              <w:rStyle w:val="Hyperlink"/>
              <w:sz w:val="14"/>
              <w:szCs w:val="14"/>
            </w:rPr>
          </w:pPr>
          <w:r w:rsidRPr="00C76DF3">
            <w:rPr>
              <w:rFonts w:ascii="Wingdings" w:hAnsi="Wingdings" w:cs="Wingdings"/>
              <w:color w:val="808080" w:themeColor="background1" w:themeShade="80"/>
              <w:sz w:val="14"/>
              <w:szCs w:val="14"/>
            </w:rPr>
            <w:t></w:t>
          </w:r>
        </w:p>
      </w:tc>
      <w:tc>
        <w:tcPr>
          <w:tcW w:w="22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2" w:right="-77"/>
            <w:jc w:val="center"/>
            <w:rPr>
              <w:rStyle w:val="Hyperlink"/>
              <w:sz w:val="14"/>
              <w:szCs w:val="14"/>
            </w:rPr>
          </w:pPr>
          <w:hyperlink w:anchor="PrivacyandSecurityTerms" w:history="1">
            <w:r w:rsidR="000F370A" w:rsidRPr="0084328F">
              <w:rPr>
                <w:rStyle w:val="Hyperlink"/>
                <w:sz w:val="14"/>
                <w:szCs w:val="14"/>
              </w:rPr>
              <w:t>Termos de Privacidade e Segurança</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7"/>
            <w:jc w:val="center"/>
            <w:rPr>
              <w:rStyle w:val="Hyperlink"/>
              <w:sz w:val="14"/>
              <w:szCs w:val="14"/>
            </w:rPr>
          </w:pPr>
          <w:r w:rsidRPr="00C76DF3">
            <w:rPr>
              <w:rFonts w:ascii="Wingdings" w:hAnsi="Wingdings" w:cs="Wingdings"/>
              <w:color w:val="808080" w:themeColor="background1" w:themeShade="80"/>
              <w:sz w:val="14"/>
              <w:szCs w:val="14"/>
            </w:rPr>
            <w:t></w:t>
          </w:r>
        </w:p>
      </w:tc>
      <w:tc>
        <w:tcPr>
          <w:tcW w:w="24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cMar>
            <w:left w:w="144" w:type="dxa"/>
            <w:right w:w="144" w:type="dxa"/>
          </w:tcMar>
          <w:vAlign w:val="center"/>
        </w:tcPr>
        <w:p w:rsidR="000F370A" w:rsidRPr="0084328F" w:rsidRDefault="00EA64EF" w:rsidP="000F370A">
          <w:pPr>
            <w:pStyle w:val="ProductList-OfferingBody"/>
            <w:ind w:left="-72" w:right="-77"/>
            <w:jc w:val="center"/>
            <w:rPr>
              <w:rStyle w:val="Hyperlink"/>
              <w:sz w:val="14"/>
              <w:szCs w:val="14"/>
            </w:rPr>
          </w:pPr>
          <w:hyperlink w:anchor="OnlineServiceSpecificTerms" w:history="1">
            <w:r w:rsidR="000F370A" w:rsidRPr="0084328F">
              <w:rPr>
                <w:rStyle w:val="Hyperlink"/>
                <w:sz w:val="14"/>
                <w:szCs w:val="14"/>
              </w:rPr>
              <w:t>Termos Específicos dos Serviços Online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7"/>
            <w:jc w:val="center"/>
            <w:rPr>
              <w:rStyle w:val="Hyperlink"/>
              <w:sz w:val="14"/>
              <w:szCs w:val="14"/>
            </w:rPr>
          </w:pPr>
          <w:r w:rsidRPr="00C76DF3">
            <w:rPr>
              <w:rFonts w:ascii="Wingdings" w:hAnsi="Wingdings" w:cs="Wingdings"/>
              <w:color w:val="808080" w:themeColor="background1" w:themeShade="80"/>
              <w:sz w:val="14"/>
              <w:szCs w:val="14"/>
            </w:rPr>
            <w:t></w:t>
          </w:r>
        </w:p>
      </w:tc>
      <w:tc>
        <w:tcPr>
          <w:tcW w:w="11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370A" w:rsidRPr="0084328F" w:rsidRDefault="00EA64EF" w:rsidP="000F370A">
          <w:pPr>
            <w:pStyle w:val="ProductList-OfferingBody"/>
            <w:ind w:left="-72" w:right="-76"/>
            <w:jc w:val="center"/>
            <w:rPr>
              <w:rStyle w:val="Hyperlink"/>
              <w:sz w:val="14"/>
              <w:szCs w:val="14"/>
            </w:rPr>
          </w:pPr>
          <w:hyperlink w:anchor="Attachment1" w:history="1">
            <w:r w:rsidR="000F370A" w:rsidRPr="0084328F">
              <w:rPr>
                <w:rStyle w:val="Hyperlink"/>
                <w:sz w:val="14"/>
                <w:szCs w:val="14"/>
              </w:rPr>
              <w:t>Anexo</w:t>
            </w:r>
          </w:hyperlink>
        </w:p>
      </w:tc>
    </w:tr>
  </w:tbl>
  <w:p w:rsidR="000F370A" w:rsidRPr="00ED05FC" w:rsidRDefault="000F370A" w:rsidP="00DE2C32">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368"/>
      <w:gridCol w:w="189"/>
      <w:gridCol w:w="1404"/>
      <w:gridCol w:w="180"/>
      <w:gridCol w:w="1350"/>
      <w:gridCol w:w="189"/>
      <w:gridCol w:w="2214"/>
      <w:gridCol w:w="171"/>
      <w:gridCol w:w="2430"/>
      <w:gridCol w:w="189"/>
      <w:gridCol w:w="1107"/>
    </w:tblGrid>
    <w:tr w:rsidR="000F370A" w:rsidRPr="0032093E" w:rsidTr="000F370A">
      <w:tc>
        <w:tcPr>
          <w:tcW w:w="13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7" w:right="-73"/>
            <w:jc w:val="center"/>
            <w:rPr>
              <w:rStyle w:val="Hyperlink"/>
              <w:sz w:val="14"/>
              <w:szCs w:val="14"/>
            </w:rPr>
          </w:pPr>
          <w:hyperlink w:anchor="TableofContents" w:history="1">
            <w:r w:rsidR="000F370A" w:rsidRPr="0084328F">
              <w:rPr>
                <w:rStyle w:val="Hyperlink"/>
                <w:sz w:val="14"/>
                <w:szCs w:val="14"/>
              </w:rPr>
              <w:t>Sumário</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71"/>
            <w:rPr>
              <w:rStyle w:val="Hyperlink"/>
              <w:sz w:val="14"/>
              <w:szCs w:val="14"/>
            </w:rPr>
          </w:pPr>
          <w:r w:rsidRPr="00C76DF3">
            <w:rPr>
              <w:rFonts w:ascii="Wingdings" w:hAnsi="Wingdings" w:cs="Wingdings"/>
              <w:color w:val="808080" w:themeColor="background1" w:themeShade="80"/>
              <w:sz w:val="14"/>
              <w:szCs w:val="14"/>
            </w:rPr>
            <w:t></w:t>
          </w:r>
        </w:p>
      </w:tc>
      <w:tc>
        <w:tcPr>
          <w:tcW w:w="14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2" w:right="-74"/>
            <w:jc w:val="center"/>
            <w:rPr>
              <w:rStyle w:val="Hyperlink"/>
              <w:sz w:val="14"/>
              <w:szCs w:val="14"/>
            </w:rPr>
          </w:pPr>
          <w:hyperlink w:anchor="Introduction" w:history="1">
            <w:r w:rsidR="000F370A" w:rsidRPr="0084328F">
              <w:rPr>
                <w:rStyle w:val="Hyperlink"/>
                <w:sz w:val="14"/>
                <w:szCs w:val="14"/>
              </w:rPr>
              <w:t>Introdução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70"/>
            <w:rPr>
              <w:rStyle w:val="Hyperlink"/>
              <w:sz w:val="14"/>
              <w:szCs w:val="14"/>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2" w:right="-75"/>
            <w:jc w:val="center"/>
            <w:rPr>
              <w:rStyle w:val="Hyperlink"/>
              <w:sz w:val="14"/>
              <w:szCs w:val="14"/>
            </w:rPr>
          </w:pPr>
          <w:hyperlink w:anchor="GeneralTerms" w:history="1">
            <w:r w:rsidR="000F370A" w:rsidRPr="0084328F">
              <w:rPr>
                <w:rStyle w:val="Hyperlink"/>
                <w:sz w:val="14"/>
                <w:szCs w:val="14"/>
              </w:rPr>
              <w:t>Termos Gerais</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9"/>
            <w:jc w:val="center"/>
            <w:rPr>
              <w:rStyle w:val="Hyperlink"/>
              <w:sz w:val="14"/>
              <w:szCs w:val="14"/>
            </w:rPr>
          </w:pPr>
          <w:r w:rsidRPr="00C76DF3">
            <w:rPr>
              <w:rFonts w:ascii="Wingdings" w:hAnsi="Wingdings" w:cs="Wingdings"/>
              <w:color w:val="808080" w:themeColor="background1" w:themeShade="80"/>
              <w:sz w:val="14"/>
              <w:szCs w:val="14"/>
            </w:rPr>
            <w:t></w:t>
          </w:r>
        </w:p>
      </w:tc>
      <w:tc>
        <w:tcPr>
          <w:tcW w:w="22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2" w:right="-77"/>
            <w:jc w:val="center"/>
            <w:rPr>
              <w:rStyle w:val="Hyperlink"/>
              <w:sz w:val="14"/>
              <w:szCs w:val="14"/>
            </w:rPr>
          </w:pPr>
          <w:hyperlink w:anchor="PrivacyandSecurityTerms" w:history="1">
            <w:r w:rsidR="000F370A" w:rsidRPr="0084328F">
              <w:rPr>
                <w:rStyle w:val="Hyperlink"/>
                <w:sz w:val="14"/>
                <w:szCs w:val="14"/>
              </w:rPr>
              <w:t>Termos de Privacidade e Segurança</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7"/>
            <w:jc w:val="center"/>
            <w:rPr>
              <w:rStyle w:val="Hyperlink"/>
              <w:sz w:val="14"/>
              <w:szCs w:val="14"/>
            </w:rPr>
          </w:pPr>
          <w:r w:rsidRPr="00C76DF3">
            <w:rPr>
              <w:rFonts w:ascii="Wingdings" w:hAnsi="Wingdings" w:cs="Wingdings"/>
              <w:color w:val="808080" w:themeColor="background1" w:themeShade="80"/>
              <w:sz w:val="14"/>
              <w:szCs w:val="14"/>
            </w:rPr>
            <w:t></w:t>
          </w:r>
        </w:p>
      </w:tc>
      <w:tc>
        <w:tcPr>
          <w:tcW w:w="24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cMar>
            <w:left w:w="144" w:type="dxa"/>
            <w:right w:w="144" w:type="dxa"/>
          </w:tcMar>
          <w:vAlign w:val="center"/>
        </w:tcPr>
        <w:p w:rsidR="000F370A" w:rsidRPr="0084328F" w:rsidRDefault="00EA64EF" w:rsidP="000F370A">
          <w:pPr>
            <w:pStyle w:val="ProductList-OfferingBody"/>
            <w:ind w:left="-72" w:right="-77"/>
            <w:jc w:val="center"/>
            <w:rPr>
              <w:rStyle w:val="Hyperlink"/>
              <w:sz w:val="14"/>
              <w:szCs w:val="14"/>
            </w:rPr>
          </w:pPr>
          <w:hyperlink w:anchor="OnlineServiceSpecificTerms" w:history="1">
            <w:r w:rsidR="000F370A" w:rsidRPr="0084328F">
              <w:rPr>
                <w:rStyle w:val="Hyperlink"/>
                <w:sz w:val="14"/>
                <w:szCs w:val="14"/>
              </w:rPr>
              <w:t>Termos Específicos dos Serviços Online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7"/>
            <w:jc w:val="center"/>
            <w:rPr>
              <w:rStyle w:val="Hyperlink"/>
              <w:sz w:val="14"/>
              <w:szCs w:val="14"/>
            </w:rPr>
          </w:pPr>
          <w:r w:rsidRPr="00C76DF3">
            <w:rPr>
              <w:rFonts w:ascii="Wingdings" w:hAnsi="Wingdings" w:cs="Wingdings"/>
              <w:color w:val="808080" w:themeColor="background1" w:themeShade="80"/>
              <w:sz w:val="14"/>
              <w:szCs w:val="14"/>
            </w:rPr>
            <w:t></w:t>
          </w:r>
        </w:p>
      </w:tc>
      <w:tc>
        <w:tcPr>
          <w:tcW w:w="11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F370A" w:rsidRPr="0084328F" w:rsidRDefault="00EA64EF" w:rsidP="000F370A">
          <w:pPr>
            <w:pStyle w:val="ProductList-OfferingBody"/>
            <w:ind w:left="-72" w:right="-76"/>
            <w:jc w:val="center"/>
            <w:rPr>
              <w:rStyle w:val="Hyperlink"/>
              <w:sz w:val="14"/>
              <w:szCs w:val="14"/>
            </w:rPr>
          </w:pPr>
          <w:hyperlink w:anchor="Attachment1" w:history="1">
            <w:r w:rsidR="000F370A" w:rsidRPr="0084328F">
              <w:rPr>
                <w:rStyle w:val="Hyperlink"/>
                <w:sz w:val="14"/>
                <w:szCs w:val="14"/>
              </w:rPr>
              <w:t>Anexo</w:t>
            </w:r>
          </w:hyperlink>
        </w:p>
      </w:tc>
    </w:tr>
  </w:tbl>
  <w:p w:rsidR="000F370A" w:rsidRPr="00ED05FC" w:rsidRDefault="000F370A" w:rsidP="00DE2C32">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368"/>
      <w:gridCol w:w="189"/>
      <w:gridCol w:w="1404"/>
      <w:gridCol w:w="180"/>
      <w:gridCol w:w="1350"/>
      <w:gridCol w:w="189"/>
      <w:gridCol w:w="2214"/>
      <w:gridCol w:w="171"/>
      <w:gridCol w:w="2430"/>
      <w:gridCol w:w="189"/>
      <w:gridCol w:w="1107"/>
    </w:tblGrid>
    <w:tr w:rsidR="000F370A" w:rsidRPr="0032093E" w:rsidTr="00DE2C32">
      <w:tc>
        <w:tcPr>
          <w:tcW w:w="13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7" w:right="-73"/>
            <w:jc w:val="center"/>
            <w:rPr>
              <w:rStyle w:val="Hyperlink"/>
              <w:sz w:val="14"/>
              <w:szCs w:val="14"/>
            </w:rPr>
          </w:pPr>
          <w:hyperlink w:anchor="TableofContents" w:history="1">
            <w:r w:rsidR="000F370A" w:rsidRPr="0084328F">
              <w:rPr>
                <w:rStyle w:val="Hyperlink"/>
                <w:sz w:val="14"/>
                <w:szCs w:val="14"/>
              </w:rPr>
              <w:t>Sumário</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71"/>
            <w:rPr>
              <w:rStyle w:val="Hyperlink"/>
              <w:sz w:val="14"/>
              <w:szCs w:val="14"/>
            </w:rPr>
          </w:pPr>
          <w:r w:rsidRPr="00C76DF3">
            <w:rPr>
              <w:rFonts w:ascii="Wingdings" w:hAnsi="Wingdings" w:cs="Wingdings"/>
              <w:color w:val="808080" w:themeColor="background1" w:themeShade="80"/>
              <w:sz w:val="14"/>
              <w:szCs w:val="14"/>
            </w:rPr>
            <w:t></w:t>
          </w:r>
        </w:p>
      </w:tc>
      <w:tc>
        <w:tcPr>
          <w:tcW w:w="14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2" w:right="-74"/>
            <w:jc w:val="center"/>
            <w:rPr>
              <w:rStyle w:val="Hyperlink"/>
              <w:sz w:val="14"/>
              <w:szCs w:val="14"/>
            </w:rPr>
          </w:pPr>
          <w:hyperlink w:anchor="Introduction" w:history="1">
            <w:r w:rsidR="000F370A" w:rsidRPr="0084328F">
              <w:rPr>
                <w:rStyle w:val="Hyperlink"/>
                <w:sz w:val="14"/>
                <w:szCs w:val="14"/>
              </w:rPr>
              <w:t>Introdução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70"/>
            <w:rPr>
              <w:rStyle w:val="Hyperlink"/>
              <w:sz w:val="14"/>
              <w:szCs w:val="14"/>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2" w:right="-75"/>
            <w:jc w:val="center"/>
            <w:rPr>
              <w:rStyle w:val="Hyperlink"/>
              <w:sz w:val="14"/>
              <w:szCs w:val="14"/>
            </w:rPr>
          </w:pPr>
          <w:hyperlink w:anchor="GeneralTerms" w:history="1">
            <w:r w:rsidR="000F370A" w:rsidRPr="0084328F">
              <w:rPr>
                <w:rStyle w:val="Hyperlink"/>
                <w:sz w:val="14"/>
                <w:szCs w:val="14"/>
              </w:rPr>
              <w:t>Termos Gerais</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9"/>
            <w:jc w:val="center"/>
            <w:rPr>
              <w:rStyle w:val="Hyperlink"/>
              <w:sz w:val="14"/>
              <w:szCs w:val="14"/>
            </w:rPr>
          </w:pPr>
          <w:r w:rsidRPr="00C76DF3">
            <w:rPr>
              <w:rFonts w:ascii="Wingdings" w:hAnsi="Wingdings" w:cs="Wingdings"/>
              <w:color w:val="808080" w:themeColor="background1" w:themeShade="80"/>
              <w:sz w:val="14"/>
              <w:szCs w:val="14"/>
            </w:rPr>
            <w:t></w:t>
          </w:r>
        </w:p>
      </w:tc>
      <w:tc>
        <w:tcPr>
          <w:tcW w:w="22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F370A" w:rsidRPr="0084328F" w:rsidRDefault="00EA64EF" w:rsidP="000F370A">
          <w:pPr>
            <w:pStyle w:val="ProductList-OfferingBody"/>
            <w:ind w:left="-72" w:right="-77"/>
            <w:jc w:val="center"/>
            <w:rPr>
              <w:rStyle w:val="Hyperlink"/>
              <w:sz w:val="14"/>
              <w:szCs w:val="14"/>
            </w:rPr>
          </w:pPr>
          <w:hyperlink w:anchor="PrivacyandSecurityTerms" w:history="1">
            <w:r w:rsidR="000F370A" w:rsidRPr="0084328F">
              <w:rPr>
                <w:rStyle w:val="Hyperlink"/>
                <w:sz w:val="14"/>
                <w:szCs w:val="14"/>
              </w:rPr>
              <w:t>Termos de Privacidade e Segurança</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7"/>
            <w:jc w:val="center"/>
            <w:rPr>
              <w:rStyle w:val="Hyperlink"/>
              <w:sz w:val="14"/>
              <w:szCs w:val="14"/>
            </w:rPr>
          </w:pPr>
          <w:r w:rsidRPr="00C76DF3">
            <w:rPr>
              <w:rFonts w:ascii="Wingdings" w:hAnsi="Wingdings" w:cs="Wingdings"/>
              <w:color w:val="808080" w:themeColor="background1" w:themeShade="80"/>
              <w:sz w:val="14"/>
              <w:szCs w:val="14"/>
            </w:rPr>
            <w:t></w:t>
          </w:r>
        </w:p>
      </w:tc>
      <w:tc>
        <w:tcPr>
          <w:tcW w:w="24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cMar>
            <w:left w:w="144" w:type="dxa"/>
            <w:right w:w="144" w:type="dxa"/>
          </w:tcMar>
          <w:vAlign w:val="center"/>
        </w:tcPr>
        <w:p w:rsidR="000F370A" w:rsidRPr="0084328F" w:rsidRDefault="00EA64EF" w:rsidP="000F370A">
          <w:pPr>
            <w:pStyle w:val="ProductList-OfferingBody"/>
            <w:ind w:left="-72" w:right="-77"/>
            <w:jc w:val="center"/>
            <w:rPr>
              <w:rStyle w:val="Hyperlink"/>
              <w:sz w:val="14"/>
              <w:szCs w:val="14"/>
            </w:rPr>
          </w:pPr>
          <w:hyperlink w:anchor="OnlineServiceSpecificTerms" w:history="1">
            <w:r w:rsidR="000F370A" w:rsidRPr="0084328F">
              <w:rPr>
                <w:rStyle w:val="Hyperlink"/>
                <w:sz w:val="14"/>
                <w:szCs w:val="14"/>
              </w:rPr>
              <w:t>Termos Específicos dos Serviços Online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F370A" w:rsidRPr="0084328F" w:rsidRDefault="000F370A" w:rsidP="000F370A">
          <w:pPr>
            <w:pStyle w:val="ProductList-OfferingBody"/>
            <w:ind w:left="-67"/>
            <w:jc w:val="center"/>
            <w:rPr>
              <w:rStyle w:val="Hyperlink"/>
              <w:sz w:val="14"/>
              <w:szCs w:val="14"/>
            </w:rPr>
          </w:pPr>
          <w:r w:rsidRPr="00C76DF3">
            <w:rPr>
              <w:rFonts w:ascii="Wingdings" w:hAnsi="Wingdings" w:cs="Wingdings"/>
              <w:color w:val="808080" w:themeColor="background1" w:themeShade="80"/>
              <w:sz w:val="14"/>
              <w:szCs w:val="14"/>
            </w:rPr>
            <w:t></w:t>
          </w:r>
        </w:p>
      </w:tc>
      <w:tc>
        <w:tcPr>
          <w:tcW w:w="11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F370A" w:rsidRPr="0084328F" w:rsidRDefault="00EA64EF" w:rsidP="000F370A">
          <w:pPr>
            <w:pStyle w:val="ProductList-OfferingBody"/>
            <w:ind w:left="-72" w:right="-76"/>
            <w:jc w:val="center"/>
            <w:rPr>
              <w:rStyle w:val="Hyperlink"/>
              <w:sz w:val="14"/>
              <w:szCs w:val="14"/>
            </w:rPr>
          </w:pPr>
          <w:hyperlink w:anchor="Attachment1" w:history="1">
            <w:r w:rsidR="000F370A" w:rsidRPr="0084328F">
              <w:rPr>
                <w:rStyle w:val="Hyperlink"/>
                <w:sz w:val="14"/>
                <w:szCs w:val="14"/>
              </w:rPr>
              <w:t>Anexo</w:t>
            </w:r>
          </w:hyperlink>
        </w:p>
      </w:tc>
    </w:tr>
  </w:tbl>
  <w:p w:rsidR="000F370A" w:rsidRPr="00ED05FC" w:rsidRDefault="000F370A" w:rsidP="00DE2C32">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64EF" w:rsidRDefault="00EA64EF" w:rsidP="009A573F">
      <w:pPr>
        <w:spacing w:after="0" w:line="240" w:lineRule="auto"/>
      </w:pPr>
      <w:r>
        <w:separator/>
      </w:r>
    </w:p>
  </w:footnote>
  <w:footnote w:type="continuationSeparator" w:id="0">
    <w:p w:rsidR="00EA64EF" w:rsidRDefault="00EA64EF" w:rsidP="009A573F">
      <w:pPr>
        <w:spacing w:after="0" w:line="240" w:lineRule="auto"/>
      </w:pPr>
      <w:r>
        <w:continuationSeparator/>
      </w:r>
    </w:p>
  </w:footnote>
  <w:footnote w:type="continuationNotice" w:id="1">
    <w:p w:rsidR="00EA64EF" w:rsidRDefault="00EA64E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370A" w:rsidRPr="004D27A6" w:rsidRDefault="000F370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0F370A" w:rsidRPr="00171B2E" w:rsidRDefault="000F370A"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Termos de Serviços Online de Licenciamento por Volume da Microsoft (Português do Brasil, julho de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53749">
          <w:rPr>
            <w:noProof/>
            <w:color w:val="404040" w:themeColor="text1" w:themeTint="BF"/>
            <w:sz w:val="16"/>
            <w:szCs w:val="16"/>
          </w:rPr>
          <w:t>22</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rsidR="000F370A" w:rsidRPr="00617964" w:rsidRDefault="000F370A" w:rsidP="00DE2C32">
        <w:pPr>
          <w:pStyle w:val="ProductList-Body"/>
          <w:tabs>
            <w:tab w:val="right" w:pos="10800"/>
          </w:tabs>
          <w:spacing w:before="20" w:after="20"/>
          <w:rPr>
            <w:color w:val="404040" w:themeColor="text1" w:themeTint="BF"/>
            <w:sz w:val="16"/>
            <w:szCs w:val="16"/>
          </w:rPr>
        </w:pPr>
        <w:r w:rsidRPr="00617964">
          <w:rPr>
            <w:color w:val="404040" w:themeColor="text1" w:themeTint="BF"/>
            <w:sz w:val="16"/>
            <w:szCs w:val="16"/>
          </w:rPr>
          <w:t>Termos de Serviços Online de Licenciamento por Volume da Microsoft (Português do Brasil, julho de 2014)</w:t>
        </w:r>
        <w:r w:rsidRPr="00617964">
          <w:rPr>
            <w:color w:val="404040" w:themeColor="text1" w:themeTint="BF"/>
            <w:sz w:val="16"/>
            <w:szCs w:val="16"/>
          </w:rPr>
          <w:tab/>
        </w:r>
        <w:r w:rsidRPr="00617964">
          <w:rPr>
            <w:color w:val="404040" w:themeColor="text1" w:themeTint="BF"/>
            <w:sz w:val="16"/>
            <w:szCs w:val="16"/>
          </w:rPr>
          <w:fldChar w:fldCharType="begin"/>
        </w:r>
        <w:r w:rsidRPr="00617964">
          <w:rPr>
            <w:color w:val="404040" w:themeColor="text1" w:themeTint="BF"/>
            <w:sz w:val="16"/>
            <w:szCs w:val="16"/>
          </w:rPr>
          <w:instrText xml:space="preserve"> PAGE   \* MERGEFORMAT </w:instrText>
        </w:r>
        <w:r w:rsidRPr="00617964">
          <w:rPr>
            <w:color w:val="404040" w:themeColor="text1" w:themeTint="BF"/>
            <w:sz w:val="16"/>
            <w:szCs w:val="16"/>
          </w:rPr>
          <w:fldChar w:fldCharType="separate"/>
        </w:r>
        <w:r w:rsidR="00753749">
          <w:rPr>
            <w:noProof/>
            <w:color w:val="404040" w:themeColor="text1" w:themeTint="BF"/>
            <w:sz w:val="16"/>
            <w:szCs w:val="16"/>
          </w:rPr>
          <w:t>14</w:t>
        </w:r>
        <w:r w:rsidRPr="00617964">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ocumentProtection w:edit="readOnly" w:enforcement="1" w:cryptProviderType="rsaAES" w:cryptAlgorithmClass="hash" w:cryptAlgorithmType="typeAny" w:cryptAlgorithmSid="14" w:cryptSpinCount="100000" w:hash="2XJo0ns0MbxbwgLuI+9zfFI6+MknPPS1M4Rb1xWnR7pwKsvPMzZ8lNP0yaJ2Rtvflgj9aqKLuaGdVoMfNWnf4g==" w:salt="LrS15Gw5GzsQBevw3hcoB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151B"/>
    <w:rsid w:val="00012831"/>
    <w:rsid w:val="00017A5A"/>
    <w:rsid w:val="00024B72"/>
    <w:rsid w:val="0002605D"/>
    <w:rsid w:val="00026DDE"/>
    <w:rsid w:val="0002719C"/>
    <w:rsid w:val="00027CCB"/>
    <w:rsid w:val="00031223"/>
    <w:rsid w:val="00034048"/>
    <w:rsid w:val="000346AC"/>
    <w:rsid w:val="00035F22"/>
    <w:rsid w:val="00036242"/>
    <w:rsid w:val="0003651D"/>
    <w:rsid w:val="00043BAC"/>
    <w:rsid w:val="000443FB"/>
    <w:rsid w:val="000469DE"/>
    <w:rsid w:val="000476AA"/>
    <w:rsid w:val="00050BC6"/>
    <w:rsid w:val="0005409E"/>
    <w:rsid w:val="00055772"/>
    <w:rsid w:val="00056522"/>
    <w:rsid w:val="00056FAF"/>
    <w:rsid w:val="00061F6E"/>
    <w:rsid w:val="00065FF8"/>
    <w:rsid w:val="00067B4B"/>
    <w:rsid w:val="00070296"/>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2E8E"/>
    <w:rsid w:val="000A5DC6"/>
    <w:rsid w:val="000A5E8A"/>
    <w:rsid w:val="000A5FA1"/>
    <w:rsid w:val="000B02C9"/>
    <w:rsid w:val="000B0627"/>
    <w:rsid w:val="000B1561"/>
    <w:rsid w:val="000B2305"/>
    <w:rsid w:val="000C0ACA"/>
    <w:rsid w:val="000C21BA"/>
    <w:rsid w:val="000C457F"/>
    <w:rsid w:val="000C4BD0"/>
    <w:rsid w:val="000C6732"/>
    <w:rsid w:val="000D5752"/>
    <w:rsid w:val="000D5E8C"/>
    <w:rsid w:val="000D6060"/>
    <w:rsid w:val="000E08C0"/>
    <w:rsid w:val="000E1DEC"/>
    <w:rsid w:val="000E3993"/>
    <w:rsid w:val="000E6ED8"/>
    <w:rsid w:val="000F0057"/>
    <w:rsid w:val="000F032B"/>
    <w:rsid w:val="000F30F7"/>
    <w:rsid w:val="000F370A"/>
    <w:rsid w:val="000F56C8"/>
    <w:rsid w:val="0010172F"/>
    <w:rsid w:val="00103924"/>
    <w:rsid w:val="00104DBC"/>
    <w:rsid w:val="0010587C"/>
    <w:rsid w:val="00105B4C"/>
    <w:rsid w:val="00107F31"/>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72FC"/>
    <w:rsid w:val="00150F54"/>
    <w:rsid w:val="001517E0"/>
    <w:rsid w:val="00154BC6"/>
    <w:rsid w:val="00154EA0"/>
    <w:rsid w:val="00156C1C"/>
    <w:rsid w:val="001602AC"/>
    <w:rsid w:val="001602F8"/>
    <w:rsid w:val="00165F81"/>
    <w:rsid w:val="00166039"/>
    <w:rsid w:val="00167128"/>
    <w:rsid w:val="00167443"/>
    <w:rsid w:val="00171B2E"/>
    <w:rsid w:val="00173148"/>
    <w:rsid w:val="00174C82"/>
    <w:rsid w:val="00175524"/>
    <w:rsid w:val="00175B93"/>
    <w:rsid w:val="0017786C"/>
    <w:rsid w:val="00183408"/>
    <w:rsid w:val="001838D6"/>
    <w:rsid w:val="00186BF6"/>
    <w:rsid w:val="00191210"/>
    <w:rsid w:val="00192660"/>
    <w:rsid w:val="001A0977"/>
    <w:rsid w:val="001A19E0"/>
    <w:rsid w:val="001B02CF"/>
    <w:rsid w:val="001B07B6"/>
    <w:rsid w:val="001B188B"/>
    <w:rsid w:val="001B25E0"/>
    <w:rsid w:val="001B351E"/>
    <w:rsid w:val="001B44F9"/>
    <w:rsid w:val="001B497B"/>
    <w:rsid w:val="001B4F20"/>
    <w:rsid w:val="001C09BD"/>
    <w:rsid w:val="001C3EDC"/>
    <w:rsid w:val="001C3F2C"/>
    <w:rsid w:val="001D0765"/>
    <w:rsid w:val="001D0B44"/>
    <w:rsid w:val="001D0F90"/>
    <w:rsid w:val="001D1AA6"/>
    <w:rsid w:val="001D2A76"/>
    <w:rsid w:val="001D494D"/>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10530"/>
    <w:rsid w:val="00212A48"/>
    <w:rsid w:val="002130D2"/>
    <w:rsid w:val="002143BC"/>
    <w:rsid w:val="0021539D"/>
    <w:rsid w:val="00215536"/>
    <w:rsid w:val="002160E0"/>
    <w:rsid w:val="00216B4F"/>
    <w:rsid w:val="00217724"/>
    <w:rsid w:val="002203AF"/>
    <w:rsid w:val="00221CBE"/>
    <w:rsid w:val="00232755"/>
    <w:rsid w:val="00233C87"/>
    <w:rsid w:val="00233CE7"/>
    <w:rsid w:val="002346B6"/>
    <w:rsid w:val="00235556"/>
    <w:rsid w:val="00236AEC"/>
    <w:rsid w:val="00237725"/>
    <w:rsid w:val="00241D62"/>
    <w:rsid w:val="00241F8F"/>
    <w:rsid w:val="00241FA0"/>
    <w:rsid w:val="00242A7E"/>
    <w:rsid w:val="002449E9"/>
    <w:rsid w:val="00245C71"/>
    <w:rsid w:val="00246862"/>
    <w:rsid w:val="002502BF"/>
    <w:rsid w:val="0025267B"/>
    <w:rsid w:val="00254CA5"/>
    <w:rsid w:val="00256427"/>
    <w:rsid w:val="00256F64"/>
    <w:rsid w:val="002634DC"/>
    <w:rsid w:val="002647B9"/>
    <w:rsid w:val="00266EE8"/>
    <w:rsid w:val="0026799F"/>
    <w:rsid w:val="00270CD4"/>
    <w:rsid w:val="00271353"/>
    <w:rsid w:val="00272578"/>
    <w:rsid w:val="002731FA"/>
    <w:rsid w:val="00273364"/>
    <w:rsid w:val="002743C4"/>
    <w:rsid w:val="00274A9F"/>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B123C"/>
    <w:rsid w:val="002B1D1A"/>
    <w:rsid w:val="002B2553"/>
    <w:rsid w:val="002B4B19"/>
    <w:rsid w:val="002B686B"/>
    <w:rsid w:val="002B789A"/>
    <w:rsid w:val="002C0221"/>
    <w:rsid w:val="002C0574"/>
    <w:rsid w:val="002C2D16"/>
    <w:rsid w:val="002C3399"/>
    <w:rsid w:val="002D3658"/>
    <w:rsid w:val="002D77A2"/>
    <w:rsid w:val="002D7FDC"/>
    <w:rsid w:val="002E028F"/>
    <w:rsid w:val="002E02F2"/>
    <w:rsid w:val="002E1F83"/>
    <w:rsid w:val="002E202B"/>
    <w:rsid w:val="002E402E"/>
    <w:rsid w:val="002E6A88"/>
    <w:rsid w:val="002E6E58"/>
    <w:rsid w:val="002E7154"/>
    <w:rsid w:val="002F06B0"/>
    <w:rsid w:val="002F0E74"/>
    <w:rsid w:val="002F1893"/>
    <w:rsid w:val="002F275E"/>
    <w:rsid w:val="002F3019"/>
    <w:rsid w:val="002F3C30"/>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D67"/>
    <w:rsid w:val="0032093E"/>
    <w:rsid w:val="00321BDB"/>
    <w:rsid w:val="00326AD0"/>
    <w:rsid w:val="00332075"/>
    <w:rsid w:val="00332DA2"/>
    <w:rsid w:val="00337870"/>
    <w:rsid w:val="00343417"/>
    <w:rsid w:val="00353E4C"/>
    <w:rsid w:val="00354D09"/>
    <w:rsid w:val="00354DA3"/>
    <w:rsid w:val="00356011"/>
    <w:rsid w:val="00362758"/>
    <w:rsid w:val="003632D9"/>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5A1"/>
    <w:rsid w:val="003A42E5"/>
    <w:rsid w:val="003A53F8"/>
    <w:rsid w:val="003B0439"/>
    <w:rsid w:val="003B3EBC"/>
    <w:rsid w:val="003B4047"/>
    <w:rsid w:val="003B6E83"/>
    <w:rsid w:val="003B7142"/>
    <w:rsid w:val="003B7A21"/>
    <w:rsid w:val="003C35CD"/>
    <w:rsid w:val="003C399B"/>
    <w:rsid w:val="003C3B94"/>
    <w:rsid w:val="003C75FF"/>
    <w:rsid w:val="003D0497"/>
    <w:rsid w:val="003D1789"/>
    <w:rsid w:val="003D1B52"/>
    <w:rsid w:val="003D1E51"/>
    <w:rsid w:val="003D22CB"/>
    <w:rsid w:val="003D396A"/>
    <w:rsid w:val="003D66C9"/>
    <w:rsid w:val="003D7A21"/>
    <w:rsid w:val="003E1568"/>
    <w:rsid w:val="003E3526"/>
    <w:rsid w:val="003F2F03"/>
    <w:rsid w:val="003F3078"/>
    <w:rsid w:val="003F6A8B"/>
    <w:rsid w:val="003F6BD4"/>
    <w:rsid w:val="003F6CEE"/>
    <w:rsid w:val="0040275F"/>
    <w:rsid w:val="00403D7F"/>
    <w:rsid w:val="00405189"/>
    <w:rsid w:val="00407104"/>
    <w:rsid w:val="0040715C"/>
    <w:rsid w:val="00407597"/>
    <w:rsid w:val="00407E60"/>
    <w:rsid w:val="004126E0"/>
    <w:rsid w:val="00413DD7"/>
    <w:rsid w:val="004143B8"/>
    <w:rsid w:val="00422587"/>
    <w:rsid w:val="00430C94"/>
    <w:rsid w:val="00432379"/>
    <w:rsid w:val="00434191"/>
    <w:rsid w:val="00434703"/>
    <w:rsid w:val="0043598B"/>
    <w:rsid w:val="0043674F"/>
    <w:rsid w:val="00440CC7"/>
    <w:rsid w:val="00440F1E"/>
    <w:rsid w:val="00442B9A"/>
    <w:rsid w:val="004456F3"/>
    <w:rsid w:val="00447F7F"/>
    <w:rsid w:val="0045030D"/>
    <w:rsid w:val="00450B39"/>
    <w:rsid w:val="00450BEA"/>
    <w:rsid w:val="00450EF0"/>
    <w:rsid w:val="00452717"/>
    <w:rsid w:val="00456898"/>
    <w:rsid w:val="004605BC"/>
    <w:rsid w:val="00460BEB"/>
    <w:rsid w:val="00461F02"/>
    <w:rsid w:val="00462987"/>
    <w:rsid w:val="00462C59"/>
    <w:rsid w:val="00463CC3"/>
    <w:rsid w:val="00466857"/>
    <w:rsid w:val="00467C95"/>
    <w:rsid w:val="00472FC6"/>
    <w:rsid w:val="00476830"/>
    <w:rsid w:val="00477621"/>
    <w:rsid w:val="00481542"/>
    <w:rsid w:val="004925A1"/>
    <w:rsid w:val="0049363D"/>
    <w:rsid w:val="004947AF"/>
    <w:rsid w:val="004947FD"/>
    <w:rsid w:val="004949B3"/>
    <w:rsid w:val="00495DD9"/>
    <w:rsid w:val="004A2A95"/>
    <w:rsid w:val="004A3F49"/>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4312"/>
    <w:rsid w:val="004D4DBB"/>
    <w:rsid w:val="004E52BA"/>
    <w:rsid w:val="004E53FA"/>
    <w:rsid w:val="004F2172"/>
    <w:rsid w:val="004F36CE"/>
    <w:rsid w:val="004F3C6D"/>
    <w:rsid w:val="004F4F80"/>
    <w:rsid w:val="004F57D5"/>
    <w:rsid w:val="004F681E"/>
    <w:rsid w:val="004F774C"/>
    <w:rsid w:val="004F788C"/>
    <w:rsid w:val="00501CBA"/>
    <w:rsid w:val="00502BC6"/>
    <w:rsid w:val="00502E27"/>
    <w:rsid w:val="00503C9D"/>
    <w:rsid w:val="00504547"/>
    <w:rsid w:val="00507D7B"/>
    <w:rsid w:val="00510119"/>
    <w:rsid w:val="0051055C"/>
    <w:rsid w:val="00510B64"/>
    <w:rsid w:val="00511BD4"/>
    <w:rsid w:val="00514A8B"/>
    <w:rsid w:val="00516278"/>
    <w:rsid w:val="005164D8"/>
    <w:rsid w:val="005206B7"/>
    <w:rsid w:val="00521B08"/>
    <w:rsid w:val="00527DC0"/>
    <w:rsid w:val="00530493"/>
    <w:rsid w:val="0053069E"/>
    <w:rsid w:val="005328B4"/>
    <w:rsid w:val="00533DD5"/>
    <w:rsid w:val="0053420D"/>
    <w:rsid w:val="0053726B"/>
    <w:rsid w:val="005403A3"/>
    <w:rsid w:val="0054134F"/>
    <w:rsid w:val="00541963"/>
    <w:rsid w:val="00541C3A"/>
    <w:rsid w:val="0054282A"/>
    <w:rsid w:val="00543682"/>
    <w:rsid w:val="00544156"/>
    <w:rsid w:val="00544A38"/>
    <w:rsid w:val="00545638"/>
    <w:rsid w:val="005470A9"/>
    <w:rsid w:val="00550011"/>
    <w:rsid w:val="00551834"/>
    <w:rsid w:val="00553404"/>
    <w:rsid w:val="005535A4"/>
    <w:rsid w:val="00553757"/>
    <w:rsid w:val="00554F9B"/>
    <w:rsid w:val="00561361"/>
    <w:rsid w:val="005616CC"/>
    <w:rsid w:val="00561759"/>
    <w:rsid w:val="00567AAC"/>
    <w:rsid w:val="005741AA"/>
    <w:rsid w:val="00577174"/>
    <w:rsid w:val="00581CDB"/>
    <w:rsid w:val="00585A48"/>
    <w:rsid w:val="00586E9A"/>
    <w:rsid w:val="00591643"/>
    <w:rsid w:val="00594255"/>
    <w:rsid w:val="00594501"/>
    <w:rsid w:val="0059704A"/>
    <w:rsid w:val="005A0966"/>
    <w:rsid w:val="005A483A"/>
    <w:rsid w:val="005B2831"/>
    <w:rsid w:val="005B7124"/>
    <w:rsid w:val="005B77E5"/>
    <w:rsid w:val="005C299D"/>
    <w:rsid w:val="005C40C4"/>
    <w:rsid w:val="005C51AC"/>
    <w:rsid w:val="005C7157"/>
    <w:rsid w:val="005C7996"/>
    <w:rsid w:val="005D0AC4"/>
    <w:rsid w:val="005D22F8"/>
    <w:rsid w:val="005D5E14"/>
    <w:rsid w:val="005D6244"/>
    <w:rsid w:val="005D74CC"/>
    <w:rsid w:val="005E2606"/>
    <w:rsid w:val="005E3CA2"/>
    <w:rsid w:val="005E69C9"/>
    <w:rsid w:val="005E7F3E"/>
    <w:rsid w:val="005F068D"/>
    <w:rsid w:val="005F0BFB"/>
    <w:rsid w:val="005F17AF"/>
    <w:rsid w:val="005F1ED1"/>
    <w:rsid w:val="005F7C66"/>
    <w:rsid w:val="00600926"/>
    <w:rsid w:val="00600D17"/>
    <w:rsid w:val="00601776"/>
    <w:rsid w:val="00605D7F"/>
    <w:rsid w:val="00605E40"/>
    <w:rsid w:val="006065E6"/>
    <w:rsid w:val="00606601"/>
    <w:rsid w:val="00611682"/>
    <w:rsid w:val="00611E56"/>
    <w:rsid w:val="006146A3"/>
    <w:rsid w:val="0061507D"/>
    <w:rsid w:val="00617964"/>
    <w:rsid w:val="0062068A"/>
    <w:rsid w:val="00624D19"/>
    <w:rsid w:val="00626814"/>
    <w:rsid w:val="00633463"/>
    <w:rsid w:val="0063398B"/>
    <w:rsid w:val="00633CC2"/>
    <w:rsid w:val="006379B5"/>
    <w:rsid w:val="0064152F"/>
    <w:rsid w:val="00642513"/>
    <w:rsid w:val="00643157"/>
    <w:rsid w:val="006434A0"/>
    <w:rsid w:val="006519F7"/>
    <w:rsid w:val="00651B74"/>
    <w:rsid w:val="006523C8"/>
    <w:rsid w:val="006524A3"/>
    <w:rsid w:val="00653E71"/>
    <w:rsid w:val="00655A3E"/>
    <w:rsid w:val="006573C2"/>
    <w:rsid w:val="00661180"/>
    <w:rsid w:val="00662221"/>
    <w:rsid w:val="00664357"/>
    <w:rsid w:val="006715C9"/>
    <w:rsid w:val="00671B8F"/>
    <w:rsid w:val="0067246B"/>
    <w:rsid w:val="00673475"/>
    <w:rsid w:val="00673D8E"/>
    <w:rsid w:val="00677274"/>
    <w:rsid w:val="00677C94"/>
    <w:rsid w:val="00680B23"/>
    <w:rsid w:val="00680B4D"/>
    <w:rsid w:val="00684714"/>
    <w:rsid w:val="00684A60"/>
    <w:rsid w:val="00685ABF"/>
    <w:rsid w:val="00686EF8"/>
    <w:rsid w:val="006925AE"/>
    <w:rsid w:val="00693493"/>
    <w:rsid w:val="0069373A"/>
    <w:rsid w:val="006A07C3"/>
    <w:rsid w:val="006A16BA"/>
    <w:rsid w:val="006A2AA6"/>
    <w:rsid w:val="006A4EAE"/>
    <w:rsid w:val="006A5DBE"/>
    <w:rsid w:val="006B0047"/>
    <w:rsid w:val="006B151D"/>
    <w:rsid w:val="006B2591"/>
    <w:rsid w:val="006B527D"/>
    <w:rsid w:val="006B5B83"/>
    <w:rsid w:val="006B662A"/>
    <w:rsid w:val="006C054D"/>
    <w:rsid w:val="006C0B5E"/>
    <w:rsid w:val="006C2505"/>
    <w:rsid w:val="006C620E"/>
    <w:rsid w:val="006C6E4A"/>
    <w:rsid w:val="006D010B"/>
    <w:rsid w:val="006D0A95"/>
    <w:rsid w:val="006D1141"/>
    <w:rsid w:val="006D3B26"/>
    <w:rsid w:val="006D49E1"/>
    <w:rsid w:val="006D4A41"/>
    <w:rsid w:val="006E3035"/>
    <w:rsid w:val="006E3B3F"/>
    <w:rsid w:val="006E454E"/>
    <w:rsid w:val="006E6A2F"/>
    <w:rsid w:val="006E73AE"/>
    <w:rsid w:val="006F1126"/>
    <w:rsid w:val="006F2563"/>
    <w:rsid w:val="006F666A"/>
    <w:rsid w:val="006F6997"/>
    <w:rsid w:val="0070170D"/>
    <w:rsid w:val="00704D9C"/>
    <w:rsid w:val="00704E5D"/>
    <w:rsid w:val="00705779"/>
    <w:rsid w:val="00711815"/>
    <w:rsid w:val="007155B2"/>
    <w:rsid w:val="007223E3"/>
    <w:rsid w:val="00722EB1"/>
    <w:rsid w:val="007246D4"/>
    <w:rsid w:val="007257F9"/>
    <w:rsid w:val="0072631D"/>
    <w:rsid w:val="00726D2E"/>
    <w:rsid w:val="007303AE"/>
    <w:rsid w:val="007304A1"/>
    <w:rsid w:val="00730B3A"/>
    <w:rsid w:val="00733083"/>
    <w:rsid w:val="0073317D"/>
    <w:rsid w:val="007337E7"/>
    <w:rsid w:val="007347E5"/>
    <w:rsid w:val="00745926"/>
    <w:rsid w:val="007476EE"/>
    <w:rsid w:val="007514F7"/>
    <w:rsid w:val="00751BFB"/>
    <w:rsid w:val="00752424"/>
    <w:rsid w:val="00753527"/>
    <w:rsid w:val="00753749"/>
    <w:rsid w:val="00754554"/>
    <w:rsid w:val="00761047"/>
    <w:rsid w:val="007619B6"/>
    <w:rsid w:val="007625AC"/>
    <w:rsid w:val="0076350B"/>
    <w:rsid w:val="00764C0C"/>
    <w:rsid w:val="00765EA8"/>
    <w:rsid w:val="00767845"/>
    <w:rsid w:val="00777FB4"/>
    <w:rsid w:val="007804C9"/>
    <w:rsid w:val="00780D45"/>
    <w:rsid w:val="00781084"/>
    <w:rsid w:val="00782926"/>
    <w:rsid w:val="00782C7B"/>
    <w:rsid w:val="00783294"/>
    <w:rsid w:val="007835FC"/>
    <w:rsid w:val="00784263"/>
    <w:rsid w:val="00787D50"/>
    <w:rsid w:val="00791675"/>
    <w:rsid w:val="007A08BF"/>
    <w:rsid w:val="007A1689"/>
    <w:rsid w:val="007A1B71"/>
    <w:rsid w:val="007A5CCA"/>
    <w:rsid w:val="007A5D4D"/>
    <w:rsid w:val="007A78D1"/>
    <w:rsid w:val="007B34ED"/>
    <w:rsid w:val="007B5CDE"/>
    <w:rsid w:val="007B68D7"/>
    <w:rsid w:val="007B77A7"/>
    <w:rsid w:val="007C0ADA"/>
    <w:rsid w:val="007D0838"/>
    <w:rsid w:val="007D22FF"/>
    <w:rsid w:val="007D29D8"/>
    <w:rsid w:val="007D4221"/>
    <w:rsid w:val="007D6FFF"/>
    <w:rsid w:val="007E0105"/>
    <w:rsid w:val="007E3F14"/>
    <w:rsid w:val="007E7DB0"/>
    <w:rsid w:val="007F3B52"/>
    <w:rsid w:val="007F3FE6"/>
    <w:rsid w:val="007F41A2"/>
    <w:rsid w:val="007F49B0"/>
    <w:rsid w:val="007F4EE2"/>
    <w:rsid w:val="008006D3"/>
    <w:rsid w:val="008041CD"/>
    <w:rsid w:val="008041F1"/>
    <w:rsid w:val="00804913"/>
    <w:rsid w:val="00807286"/>
    <w:rsid w:val="00813FC9"/>
    <w:rsid w:val="00822F15"/>
    <w:rsid w:val="00827B1F"/>
    <w:rsid w:val="00830432"/>
    <w:rsid w:val="00830CA5"/>
    <w:rsid w:val="0083500E"/>
    <w:rsid w:val="0083545F"/>
    <w:rsid w:val="0083582D"/>
    <w:rsid w:val="00840F96"/>
    <w:rsid w:val="0084136D"/>
    <w:rsid w:val="008414C4"/>
    <w:rsid w:val="0084328F"/>
    <w:rsid w:val="00846616"/>
    <w:rsid w:val="008507CF"/>
    <w:rsid w:val="00852623"/>
    <w:rsid w:val="008526EC"/>
    <w:rsid w:val="0085720F"/>
    <w:rsid w:val="008573BE"/>
    <w:rsid w:val="00861BA1"/>
    <w:rsid w:val="00861FEC"/>
    <w:rsid w:val="00864C0F"/>
    <w:rsid w:val="00865765"/>
    <w:rsid w:val="00866323"/>
    <w:rsid w:val="00867B7D"/>
    <w:rsid w:val="00867D3C"/>
    <w:rsid w:val="008729B5"/>
    <w:rsid w:val="00874919"/>
    <w:rsid w:val="00874A71"/>
    <w:rsid w:val="00874FA9"/>
    <w:rsid w:val="008761C7"/>
    <w:rsid w:val="008774E5"/>
    <w:rsid w:val="0088164F"/>
    <w:rsid w:val="00887E02"/>
    <w:rsid w:val="00891785"/>
    <w:rsid w:val="008940CA"/>
    <w:rsid w:val="0089477A"/>
    <w:rsid w:val="00897417"/>
    <w:rsid w:val="00897D19"/>
    <w:rsid w:val="008A0064"/>
    <w:rsid w:val="008A2E96"/>
    <w:rsid w:val="008B02EF"/>
    <w:rsid w:val="008B08EC"/>
    <w:rsid w:val="008B2E04"/>
    <w:rsid w:val="008B3F5F"/>
    <w:rsid w:val="008B6ABD"/>
    <w:rsid w:val="008C0120"/>
    <w:rsid w:val="008C0FB9"/>
    <w:rsid w:val="008C1B76"/>
    <w:rsid w:val="008C3E2C"/>
    <w:rsid w:val="008C6215"/>
    <w:rsid w:val="008C733D"/>
    <w:rsid w:val="008D1FF3"/>
    <w:rsid w:val="008D38E9"/>
    <w:rsid w:val="008D48C6"/>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023"/>
    <w:rsid w:val="008F2449"/>
    <w:rsid w:val="008F4ABC"/>
    <w:rsid w:val="009007FB"/>
    <w:rsid w:val="00903003"/>
    <w:rsid w:val="009041B8"/>
    <w:rsid w:val="009048D8"/>
    <w:rsid w:val="00906A75"/>
    <w:rsid w:val="009123E5"/>
    <w:rsid w:val="009130AF"/>
    <w:rsid w:val="009141A9"/>
    <w:rsid w:val="00917344"/>
    <w:rsid w:val="0092151A"/>
    <w:rsid w:val="00925750"/>
    <w:rsid w:val="009267F8"/>
    <w:rsid w:val="00927552"/>
    <w:rsid w:val="00927DFB"/>
    <w:rsid w:val="00930A79"/>
    <w:rsid w:val="00930D5E"/>
    <w:rsid w:val="00934B9C"/>
    <w:rsid w:val="009377C8"/>
    <w:rsid w:val="009427A1"/>
    <w:rsid w:val="00943761"/>
    <w:rsid w:val="009446CB"/>
    <w:rsid w:val="00944F89"/>
    <w:rsid w:val="00956AFC"/>
    <w:rsid w:val="009616E2"/>
    <w:rsid w:val="00965777"/>
    <w:rsid w:val="00967209"/>
    <w:rsid w:val="009708AE"/>
    <w:rsid w:val="00971DC1"/>
    <w:rsid w:val="00974D6F"/>
    <w:rsid w:val="00974EAE"/>
    <w:rsid w:val="00976475"/>
    <w:rsid w:val="00976EB6"/>
    <w:rsid w:val="00981B7C"/>
    <w:rsid w:val="009919D2"/>
    <w:rsid w:val="00992355"/>
    <w:rsid w:val="00993957"/>
    <w:rsid w:val="00993D80"/>
    <w:rsid w:val="009946E6"/>
    <w:rsid w:val="0099471C"/>
    <w:rsid w:val="009A0311"/>
    <w:rsid w:val="009A0C93"/>
    <w:rsid w:val="009A167F"/>
    <w:rsid w:val="009A38BC"/>
    <w:rsid w:val="009A48E0"/>
    <w:rsid w:val="009A573F"/>
    <w:rsid w:val="009A5DDB"/>
    <w:rsid w:val="009B0843"/>
    <w:rsid w:val="009B0ECA"/>
    <w:rsid w:val="009B0F82"/>
    <w:rsid w:val="009B1B48"/>
    <w:rsid w:val="009B280A"/>
    <w:rsid w:val="009B3712"/>
    <w:rsid w:val="009B373A"/>
    <w:rsid w:val="009B3FD1"/>
    <w:rsid w:val="009B462A"/>
    <w:rsid w:val="009B56B6"/>
    <w:rsid w:val="009B7110"/>
    <w:rsid w:val="009C1170"/>
    <w:rsid w:val="009C2439"/>
    <w:rsid w:val="009C3946"/>
    <w:rsid w:val="009C45A3"/>
    <w:rsid w:val="009C6951"/>
    <w:rsid w:val="009C6E3D"/>
    <w:rsid w:val="009D47AA"/>
    <w:rsid w:val="009D48DC"/>
    <w:rsid w:val="009D55C7"/>
    <w:rsid w:val="009D7029"/>
    <w:rsid w:val="009D75E4"/>
    <w:rsid w:val="009D7B57"/>
    <w:rsid w:val="009E1894"/>
    <w:rsid w:val="009E43FD"/>
    <w:rsid w:val="009E770E"/>
    <w:rsid w:val="009E7F8C"/>
    <w:rsid w:val="009F2065"/>
    <w:rsid w:val="009F282C"/>
    <w:rsid w:val="009F7D89"/>
    <w:rsid w:val="00A0071A"/>
    <w:rsid w:val="00A0485E"/>
    <w:rsid w:val="00A05175"/>
    <w:rsid w:val="00A11413"/>
    <w:rsid w:val="00A12C31"/>
    <w:rsid w:val="00A13C12"/>
    <w:rsid w:val="00A1418D"/>
    <w:rsid w:val="00A157E7"/>
    <w:rsid w:val="00A172BE"/>
    <w:rsid w:val="00A21F1C"/>
    <w:rsid w:val="00A22AFB"/>
    <w:rsid w:val="00A23FD9"/>
    <w:rsid w:val="00A26AE5"/>
    <w:rsid w:val="00A27D70"/>
    <w:rsid w:val="00A30B11"/>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D6C"/>
    <w:rsid w:val="00A646CD"/>
    <w:rsid w:val="00A723F7"/>
    <w:rsid w:val="00A72B12"/>
    <w:rsid w:val="00A74622"/>
    <w:rsid w:val="00A765FA"/>
    <w:rsid w:val="00A80AAC"/>
    <w:rsid w:val="00A81D37"/>
    <w:rsid w:val="00A83621"/>
    <w:rsid w:val="00A905BA"/>
    <w:rsid w:val="00A914BF"/>
    <w:rsid w:val="00A938E0"/>
    <w:rsid w:val="00A93B06"/>
    <w:rsid w:val="00A9432E"/>
    <w:rsid w:val="00A94738"/>
    <w:rsid w:val="00A94C02"/>
    <w:rsid w:val="00A94FDF"/>
    <w:rsid w:val="00A97CA1"/>
    <w:rsid w:val="00AA0B21"/>
    <w:rsid w:val="00AA0F4D"/>
    <w:rsid w:val="00AA483D"/>
    <w:rsid w:val="00AA56FC"/>
    <w:rsid w:val="00AA6837"/>
    <w:rsid w:val="00AA69BE"/>
    <w:rsid w:val="00AA6E26"/>
    <w:rsid w:val="00AB1667"/>
    <w:rsid w:val="00AB223B"/>
    <w:rsid w:val="00AB48DD"/>
    <w:rsid w:val="00AB500F"/>
    <w:rsid w:val="00AB6460"/>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3D1A"/>
    <w:rsid w:val="00AE433F"/>
    <w:rsid w:val="00AE55C3"/>
    <w:rsid w:val="00AE64A9"/>
    <w:rsid w:val="00AE69BA"/>
    <w:rsid w:val="00AE709D"/>
    <w:rsid w:val="00AF1BF3"/>
    <w:rsid w:val="00AF4CA4"/>
    <w:rsid w:val="00AF6659"/>
    <w:rsid w:val="00AF67A7"/>
    <w:rsid w:val="00B01933"/>
    <w:rsid w:val="00B03C1D"/>
    <w:rsid w:val="00B0782A"/>
    <w:rsid w:val="00B12C95"/>
    <w:rsid w:val="00B14249"/>
    <w:rsid w:val="00B17611"/>
    <w:rsid w:val="00B20876"/>
    <w:rsid w:val="00B21DA3"/>
    <w:rsid w:val="00B26020"/>
    <w:rsid w:val="00B26BEF"/>
    <w:rsid w:val="00B35314"/>
    <w:rsid w:val="00B3772C"/>
    <w:rsid w:val="00B45BE8"/>
    <w:rsid w:val="00B47BC3"/>
    <w:rsid w:val="00B504F8"/>
    <w:rsid w:val="00B5449A"/>
    <w:rsid w:val="00B608EC"/>
    <w:rsid w:val="00B60ECF"/>
    <w:rsid w:val="00B627EE"/>
    <w:rsid w:val="00B64912"/>
    <w:rsid w:val="00B64EAD"/>
    <w:rsid w:val="00B674C3"/>
    <w:rsid w:val="00B70E21"/>
    <w:rsid w:val="00B710C4"/>
    <w:rsid w:val="00B75CB7"/>
    <w:rsid w:val="00B7638F"/>
    <w:rsid w:val="00B76D83"/>
    <w:rsid w:val="00B80DB3"/>
    <w:rsid w:val="00B8103D"/>
    <w:rsid w:val="00B810D0"/>
    <w:rsid w:val="00B92357"/>
    <w:rsid w:val="00B942D8"/>
    <w:rsid w:val="00B94358"/>
    <w:rsid w:val="00B96E63"/>
    <w:rsid w:val="00BA09A6"/>
    <w:rsid w:val="00BA3910"/>
    <w:rsid w:val="00BA49EA"/>
    <w:rsid w:val="00BA49F6"/>
    <w:rsid w:val="00BA7277"/>
    <w:rsid w:val="00BA7CE6"/>
    <w:rsid w:val="00BB1F35"/>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0CDD"/>
    <w:rsid w:val="00BF408D"/>
    <w:rsid w:val="00BF6A60"/>
    <w:rsid w:val="00C0319E"/>
    <w:rsid w:val="00C04B1E"/>
    <w:rsid w:val="00C05A53"/>
    <w:rsid w:val="00C12361"/>
    <w:rsid w:val="00C13DF8"/>
    <w:rsid w:val="00C15E68"/>
    <w:rsid w:val="00C16CDA"/>
    <w:rsid w:val="00C21E41"/>
    <w:rsid w:val="00C22F1E"/>
    <w:rsid w:val="00C2472D"/>
    <w:rsid w:val="00C26E6F"/>
    <w:rsid w:val="00C347FF"/>
    <w:rsid w:val="00C351CD"/>
    <w:rsid w:val="00C35601"/>
    <w:rsid w:val="00C36DBB"/>
    <w:rsid w:val="00C37C7A"/>
    <w:rsid w:val="00C422FE"/>
    <w:rsid w:val="00C438E8"/>
    <w:rsid w:val="00C457FA"/>
    <w:rsid w:val="00C4636F"/>
    <w:rsid w:val="00C47698"/>
    <w:rsid w:val="00C524DB"/>
    <w:rsid w:val="00C5753F"/>
    <w:rsid w:val="00C614E7"/>
    <w:rsid w:val="00C64C21"/>
    <w:rsid w:val="00C66C0B"/>
    <w:rsid w:val="00C744BD"/>
    <w:rsid w:val="00C745A4"/>
    <w:rsid w:val="00C76DF3"/>
    <w:rsid w:val="00C81E30"/>
    <w:rsid w:val="00C92DC7"/>
    <w:rsid w:val="00C9307D"/>
    <w:rsid w:val="00C9518F"/>
    <w:rsid w:val="00C9711E"/>
    <w:rsid w:val="00CA509E"/>
    <w:rsid w:val="00CA7BE1"/>
    <w:rsid w:val="00CB138C"/>
    <w:rsid w:val="00CB1C65"/>
    <w:rsid w:val="00CB2A13"/>
    <w:rsid w:val="00CB3D69"/>
    <w:rsid w:val="00CB4443"/>
    <w:rsid w:val="00CC0B22"/>
    <w:rsid w:val="00CC258E"/>
    <w:rsid w:val="00CC2D6F"/>
    <w:rsid w:val="00CC338A"/>
    <w:rsid w:val="00CC34E7"/>
    <w:rsid w:val="00CC54F7"/>
    <w:rsid w:val="00CC5FD6"/>
    <w:rsid w:val="00CC615D"/>
    <w:rsid w:val="00CC6BFE"/>
    <w:rsid w:val="00CC7292"/>
    <w:rsid w:val="00CC7DCB"/>
    <w:rsid w:val="00CD12B3"/>
    <w:rsid w:val="00CD2C0E"/>
    <w:rsid w:val="00CD3F90"/>
    <w:rsid w:val="00CD5187"/>
    <w:rsid w:val="00CD538A"/>
    <w:rsid w:val="00CD601A"/>
    <w:rsid w:val="00CE0C80"/>
    <w:rsid w:val="00CE1320"/>
    <w:rsid w:val="00CE1FBF"/>
    <w:rsid w:val="00CE2C91"/>
    <w:rsid w:val="00CE4450"/>
    <w:rsid w:val="00CE45F9"/>
    <w:rsid w:val="00CE5EEC"/>
    <w:rsid w:val="00CF012D"/>
    <w:rsid w:val="00CF18DD"/>
    <w:rsid w:val="00CF4D41"/>
    <w:rsid w:val="00D1024F"/>
    <w:rsid w:val="00D103AF"/>
    <w:rsid w:val="00D11F4A"/>
    <w:rsid w:val="00D12FE5"/>
    <w:rsid w:val="00D14649"/>
    <w:rsid w:val="00D14E32"/>
    <w:rsid w:val="00D15B9F"/>
    <w:rsid w:val="00D1786D"/>
    <w:rsid w:val="00D17D13"/>
    <w:rsid w:val="00D20FC9"/>
    <w:rsid w:val="00D230CD"/>
    <w:rsid w:val="00D26825"/>
    <w:rsid w:val="00D27ABE"/>
    <w:rsid w:val="00D3001A"/>
    <w:rsid w:val="00D33C4C"/>
    <w:rsid w:val="00D3417F"/>
    <w:rsid w:val="00D361CE"/>
    <w:rsid w:val="00D37F31"/>
    <w:rsid w:val="00D40000"/>
    <w:rsid w:val="00D41AF5"/>
    <w:rsid w:val="00D4228D"/>
    <w:rsid w:val="00D450D0"/>
    <w:rsid w:val="00D46E2F"/>
    <w:rsid w:val="00D510DA"/>
    <w:rsid w:val="00D51A52"/>
    <w:rsid w:val="00D5365D"/>
    <w:rsid w:val="00D5434B"/>
    <w:rsid w:val="00D5519A"/>
    <w:rsid w:val="00D57D6E"/>
    <w:rsid w:val="00D608A0"/>
    <w:rsid w:val="00D61048"/>
    <w:rsid w:val="00D65DA3"/>
    <w:rsid w:val="00D66567"/>
    <w:rsid w:val="00D67331"/>
    <w:rsid w:val="00D67524"/>
    <w:rsid w:val="00D67904"/>
    <w:rsid w:val="00D67A4B"/>
    <w:rsid w:val="00D70B5E"/>
    <w:rsid w:val="00D7478E"/>
    <w:rsid w:val="00D80A12"/>
    <w:rsid w:val="00D8160E"/>
    <w:rsid w:val="00D8182E"/>
    <w:rsid w:val="00D8251F"/>
    <w:rsid w:val="00D8533F"/>
    <w:rsid w:val="00D86163"/>
    <w:rsid w:val="00D8788C"/>
    <w:rsid w:val="00D87AF4"/>
    <w:rsid w:val="00D909A5"/>
    <w:rsid w:val="00DA224E"/>
    <w:rsid w:val="00DA2953"/>
    <w:rsid w:val="00DA2DE3"/>
    <w:rsid w:val="00DA5EB4"/>
    <w:rsid w:val="00DB08A8"/>
    <w:rsid w:val="00DB0FA5"/>
    <w:rsid w:val="00DB4C09"/>
    <w:rsid w:val="00DB5001"/>
    <w:rsid w:val="00DB5F71"/>
    <w:rsid w:val="00DB6414"/>
    <w:rsid w:val="00DC0385"/>
    <w:rsid w:val="00DC097C"/>
    <w:rsid w:val="00DC0A1F"/>
    <w:rsid w:val="00DC38ED"/>
    <w:rsid w:val="00DC65FA"/>
    <w:rsid w:val="00DC66F8"/>
    <w:rsid w:val="00DC7CDF"/>
    <w:rsid w:val="00DC7D20"/>
    <w:rsid w:val="00DD0137"/>
    <w:rsid w:val="00DD1A45"/>
    <w:rsid w:val="00DE1B8D"/>
    <w:rsid w:val="00DE2C32"/>
    <w:rsid w:val="00DE31C1"/>
    <w:rsid w:val="00DE44BF"/>
    <w:rsid w:val="00DE5F5E"/>
    <w:rsid w:val="00DE7535"/>
    <w:rsid w:val="00DF1449"/>
    <w:rsid w:val="00DF229E"/>
    <w:rsid w:val="00DF2A90"/>
    <w:rsid w:val="00DF3BB8"/>
    <w:rsid w:val="00DF45DE"/>
    <w:rsid w:val="00DF45EB"/>
    <w:rsid w:val="00DF470E"/>
    <w:rsid w:val="00DF52E3"/>
    <w:rsid w:val="00E04037"/>
    <w:rsid w:val="00E05F95"/>
    <w:rsid w:val="00E11DA2"/>
    <w:rsid w:val="00E15D39"/>
    <w:rsid w:val="00E175AA"/>
    <w:rsid w:val="00E22ED9"/>
    <w:rsid w:val="00E24565"/>
    <w:rsid w:val="00E275D6"/>
    <w:rsid w:val="00E31CE3"/>
    <w:rsid w:val="00E33C92"/>
    <w:rsid w:val="00E36443"/>
    <w:rsid w:val="00E366FD"/>
    <w:rsid w:val="00E3770D"/>
    <w:rsid w:val="00E4075B"/>
    <w:rsid w:val="00E40A34"/>
    <w:rsid w:val="00E4293A"/>
    <w:rsid w:val="00E44A07"/>
    <w:rsid w:val="00E46232"/>
    <w:rsid w:val="00E47D53"/>
    <w:rsid w:val="00E50DA2"/>
    <w:rsid w:val="00E51153"/>
    <w:rsid w:val="00E512C8"/>
    <w:rsid w:val="00E526D8"/>
    <w:rsid w:val="00E53F8E"/>
    <w:rsid w:val="00E553C4"/>
    <w:rsid w:val="00E6194F"/>
    <w:rsid w:val="00E61DFC"/>
    <w:rsid w:val="00E652A8"/>
    <w:rsid w:val="00E67F37"/>
    <w:rsid w:val="00E74A85"/>
    <w:rsid w:val="00E74CED"/>
    <w:rsid w:val="00E75532"/>
    <w:rsid w:val="00E76C11"/>
    <w:rsid w:val="00E83157"/>
    <w:rsid w:val="00E83159"/>
    <w:rsid w:val="00E833C7"/>
    <w:rsid w:val="00E84A23"/>
    <w:rsid w:val="00E85897"/>
    <w:rsid w:val="00E87283"/>
    <w:rsid w:val="00E87EC1"/>
    <w:rsid w:val="00E915FD"/>
    <w:rsid w:val="00E93FD0"/>
    <w:rsid w:val="00E957F0"/>
    <w:rsid w:val="00E96D66"/>
    <w:rsid w:val="00EA044F"/>
    <w:rsid w:val="00EA116D"/>
    <w:rsid w:val="00EA4BEE"/>
    <w:rsid w:val="00EA5FCC"/>
    <w:rsid w:val="00EA64EF"/>
    <w:rsid w:val="00EA7404"/>
    <w:rsid w:val="00EB42C1"/>
    <w:rsid w:val="00EB4400"/>
    <w:rsid w:val="00EC0156"/>
    <w:rsid w:val="00EC1E28"/>
    <w:rsid w:val="00EC3D50"/>
    <w:rsid w:val="00EC3F08"/>
    <w:rsid w:val="00EC4F2C"/>
    <w:rsid w:val="00EC552C"/>
    <w:rsid w:val="00ED05FC"/>
    <w:rsid w:val="00ED080D"/>
    <w:rsid w:val="00ED3508"/>
    <w:rsid w:val="00ED3A2C"/>
    <w:rsid w:val="00ED4056"/>
    <w:rsid w:val="00ED50E6"/>
    <w:rsid w:val="00ED691B"/>
    <w:rsid w:val="00ED7512"/>
    <w:rsid w:val="00EE04BA"/>
    <w:rsid w:val="00EE0836"/>
    <w:rsid w:val="00EE0874"/>
    <w:rsid w:val="00EE2557"/>
    <w:rsid w:val="00EE2A6B"/>
    <w:rsid w:val="00EE3DA5"/>
    <w:rsid w:val="00EE40B5"/>
    <w:rsid w:val="00EE429C"/>
    <w:rsid w:val="00EF06FA"/>
    <w:rsid w:val="00EF0970"/>
    <w:rsid w:val="00EF171D"/>
    <w:rsid w:val="00EF1E73"/>
    <w:rsid w:val="00EF2FC2"/>
    <w:rsid w:val="00EF37C3"/>
    <w:rsid w:val="00EF3BE5"/>
    <w:rsid w:val="00EF5E58"/>
    <w:rsid w:val="00EF6AA8"/>
    <w:rsid w:val="00F07542"/>
    <w:rsid w:val="00F10723"/>
    <w:rsid w:val="00F11336"/>
    <w:rsid w:val="00F11719"/>
    <w:rsid w:val="00F131AB"/>
    <w:rsid w:val="00F139A1"/>
    <w:rsid w:val="00F17C77"/>
    <w:rsid w:val="00F20AFE"/>
    <w:rsid w:val="00F20BE4"/>
    <w:rsid w:val="00F23668"/>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4B2"/>
    <w:rsid w:val="00FB1558"/>
    <w:rsid w:val="00FB1ECC"/>
    <w:rsid w:val="00FB5E33"/>
    <w:rsid w:val="00FB6373"/>
    <w:rsid w:val="00FB719E"/>
    <w:rsid w:val="00FB7B75"/>
    <w:rsid w:val="00FC298D"/>
    <w:rsid w:val="00FC2B19"/>
    <w:rsid w:val="00FC34A4"/>
    <w:rsid w:val="00FC3DF4"/>
    <w:rsid w:val="00FC3FF1"/>
    <w:rsid w:val="00FC409E"/>
    <w:rsid w:val="00FD17DB"/>
    <w:rsid w:val="00FD3474"/>
    <w:rsid w:val="00FD463A"/>
    <w:rsid w:val="00FD4F22"/>
    <w:rsid w:val="00FD67D5"/>
    <w:rsid w:val="00FE07DD"/>
    <w:rsid w:val="00FE161B"/>
    <w:rsid w:val="00FE2401"/>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0771D9D-829B-4108-80AF-7137646C7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62245D4-A3C1-48AE-A7F2-B8C2381A0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19254</Words>
  <Characters>109751</Characters>
  <Application>Microsoft Office Word</Application>
  <DocSecurity>8</DocSecurity>
  <Lines>914</Lines>
  <Paragraphs>257</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128748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2014-06-27T09:51:00Z</cp:lastPrinted>
  <dcterms:created xsi:type="dcterms:W3CDTF">2014-06-30T21:08:00Z</dcterms:created>
  <dcterms:modified xsi:type="dcterms:W3CDTF">2014-06-30T21:08:00Z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